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FF4" w:rsidRDefault="00D83315">
      <w:pPr>
        <w:pStyle w:val="1"/>
        <w:spacing w:before="0" w:after="0"/>
        <w:ind w:left="36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xml:space="preserve">. Заявка участника должна соответствовать </w:t>
      </w:r>
      <w:r w:rsidRPr="00154BE1">
        <w:rPr>
          <w:sz w:val="28"/>
          <w:szCs w:val="28"/>
        </w:rPr>
        <w:lastRenderedPageBreak/>
        <w:t>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154BE1">
          <w:rPr>
            <w:rStyle w:val="a7"/>
            <w:color w:val="auto"/>
            <w:sz w:val="28"/>
            <w:szCs w:val="28"/>
          </w:rPr>
          <w:t>www.rzd.ru</w:t>
        </w:r>
      </w:hyperlink>
      <w:r w:rsidR="00216737" w:rsidRPr="00154BE1">
        <w:rPr>
          <w:sz w:val="28"/>
          <w:szCs w:val="28"/>
        </w:rPr>
        <w:t>, а также</w:t>
      </w:r>
      <w:r w:rsidR="00216737" w:rsidRPr="00154BE1">
        <w:rPr>
          <w:bCs/>
          <w:sz w:val="28"/>
          <w:szCs w:val="28"/>
        </w:rPr>
        <w:t xml:space="preserve"> на сайте ЭТЗП </w:t>
      </w:r>
      <w:r w:rsidR="00216737" w:rsidRPr="00154BE1">
        <w:rPr>
          <w:sz w:val="28"/>
          <w:szCs w:val="28"/>
        </w:rPr>
        <w:t xml:space="preserve">с последующим размещением такой информации в единой информационной системе в течение 1 </w:t>
      </w:r>
      <w:r w:rsidR="00216737" w:rsidRPr="00154BE1">
        <w:rPr>
          <w:sz w:val="28"/>
          <w:szCs w:val="28"/>
        </w:rPr>
        <w:lastRenderedPageBreak/>
        <w:t>(одного)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проведении аукциона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проведении аукциона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w:t>
      </w:r>
      <w:r w:rsidRPr="000B1044">
        <w:rPr>
          <w:sz w:val="28"/>
          <w:szCs w:val="28"/>
        </w:rPr>
        <w:lastRenderedPageBreak/>
        <w:t>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от которого поступил запрос</w:t>
      </w:r>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w:t>
      </w:r>
      <w:r w:rsidRPr="002B25DC">
        <w:rPr>
          <w:sz w:val="28"/>
          <w:szCs w:val="28"/>
        </w:rPr>
        <w:lastRenderedPageBreak/>
        <w:t xml:space="preserve">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5171D6" w:rsidRPr="00E95D6F">
        <w:rPr>
          <w:sz w:val="28"/>
          <w:szCs w:val="28"/>
        </w:rPr>
        <w:t xml:space="preserve">в соответствии с Положением о закупке товаров, работ,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xml:space="preserve">, уведомление об указанных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запросах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lastRenderedPageBreak/>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с даты его подписания. В случае,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составляется 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580940" w:rsidRPr="00154BE1" w:rsidRDefault="00580940" w:rsidP="00C627E0">
      <w:pPr>
        <w:pStyle w:val="a6"/>
        <w:ind w:left="0" w:firstLine="709"/>
        <w:jc w:val="both"/>
        <w:rPr>
          <w:rFonts w:eastAsia="MS Mincho"/>
          <w:sz w:val="28"/>
          <w:szCs w:val="28"/>
        </w:rPr>
      </w:pP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lastRenderedPageBreak/>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извещении и аукционной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 xml:space="preserve">у участников аукциона информацию и документы, необходимые для подтверждения соответствия участника, товаров, работ, услуг, предлагаемых в </w:t>
      </w:r>
      <w:r w:rsidRPr="00154BE1">
        <w:rPr>
          <w:sz w:val="28"/>
          <w:szCs w:val="28"/>
        </w:rPr>
        <w:lastRenderedPageBreak/>
        <w:t>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w:t>
      </w:r>
      <w:r w:rsidRPr="000863C3">
        <w:rPr>
          <w:sz w:val="28"/>
          <w:szCs w:val="28"/>
        </w:rPr>
        <w:lastRenderedPageBreak/>
        <w:t>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392FF4" w:rsidRPr="008834C8"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8834C8" w:rsidRDefault="008834C8" w:rsidP="00DE5004">
      <w:pPr>
        <w:pStyle w:val="a6"/>
        <w:numPr>
          <w:ilvl w:val="2"/>
          <w:numId w:val="35"/>
        </w:numPr>
        <w:ind w:left="0" w:firstLine="709"/>
        <w:jc w:val="both"/>
        <w:rPr>
          <w:rFonts w:eastAsia="MS Mincho"/>
          <w:sz w:val="28"/>
          <w:szCs w:val="28"/>
        </w:rPr>
      </w:pPr>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отклонении аукционной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w:t>
      </w:r>
      <w:r w:rsidRPr="00411D72">
        <w:rPr>
          <w:sz w:val="28"/>
          <w:szCs w:val="28"/>
        </w:rPr>
        <w:lastRenderedPageBreak/>
        <w:t>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t xml:space="preserve">Участник </w:t>
      </w:r>
      <w:r>
        <w:rPr>
          <w:sz w:val="28"/>
          <w:szCs w:val="28"/>
        </w:rPr>
        <w:t>аукциона</w:t>
      </w:r>
      <w:r w:rsidRPr="008744A7">
        <w:rPr>
          <w:sz w:val="28"/>
          <w:szCs w:val="28"/>
        </w:rPr>
        <w:t xml:space="preserve"> </w:t>
      </w:r>
      <w:r w:rsidRPr="005C6964">
        <w:rPr>
          <w:sz w:val="28"/>
          <w:szCs w:val="28"/>
        </w:rPr>
        <w:t>не допускается 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отклонении аукционной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с даты подписания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lastRenderedPageBreak/>
        <w:t xml:space="preserve">Участник аукциона </w:t>
      </w:r>
      <w:r w:rsidR="003341E7" w:rsidRPr="00ED1BC1">
        <w:rPr>
          <w:sz w:val="28"/>
          <w:szCs w:val="28"/>
        </w:rPr>
        <w:t>не допускается 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с даты подписания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1) аукцион начинается в дату и время, указанные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r w:rsidR="00E32B66" w:rsidRPr="00460AB2" w:rsidDel="00E32B66">
        <w:rPr>
          <w:sz w:val="28"/>
          <w:szCs w:val="28"/>
        </w:rPr>
        <w:t xml:space="preserve"> </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lastRenderedPageBreak/>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lastRenderedPageBreak/>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несостоявшимся</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p>
    <w:p w:rsidR="00E01169" w:rsidRDefault="0007770D" w:rsidP="00246C84">
      <w:pPr>
        <w:pStyle w:val="a8"/>
        <w:suppressAutoHyphens/>
        <w:rPr>
          <w:sz w:val="28"/>
          <w:szCs w:val="28"/>
        </w:rPr>
      </w:pPr>
      <w:r>
        <w:rPr>
          <w:sz w:val="28"/>
          <w:szCs w:val="28"/>
        </w:rPr>
        <w:t>5</w:t>
      </w:r>
      <w:r w:rsidR="00246C84" w:rsidRPr="00154BE1">
        <w:rPr>
          <w:sz w:val="28"/>
          <w:szCs w:val="28"/>
        </w:rPr>
        <w:t>) в ходе проведения аукциона (в том числе в части отдельных лотов) не поступили предложения о более низкой цене договора (цене лота), чем начальная (максимальная) цена договора (цена лота)</w:t>
      </w:r>
      <w:r w:rsidR="00ED1BC1">
        <w:rPr>
          <w:sz w:val="28"/>
          <w:szCs w:val="28"/>
        </w:rPr>
        <w:t xml:space="preserve"> без учета НДС</w:t>
      </w:r>
      <w:r w:rsidR="00180F53">
        <w:rPr>
          <w:sz w:val="28"/>
          <w:szCs w:val="28"/>
        </w:rPr>
        <w:t>;</w:t>
      </w:r>
    </w:p>
    <w:p w:rsidR="00246C84" w:rsidRPr="00154BE1" w:rsidRDefault="00E01169" w:rsidP="00246C84">
      <w:pPr>
        <w:pStyle w:val="a8"/>
        <w:suppressAutoHyphens/>
        <w:rPr>
          <w:sz w:val="28"/>
          <w:szCs w:val="28"/>
        </w:rPr>
      </w:pPr>
      <w:r>
        <w:rPr>
          <w:sz w:val="28"/>
          <w:szCs w:val="28"/>
        </w:rPr>
        <w:t xml:space="preserve">6) на аукцион явился один </w:t>
      </w:r>
      <w:r w:rsidRPr="00E95D6F">
        <w:rPr>
          <w:sz w:val="28"/>
          <w:szCs w:val="28"/>
        </w:rPr>
        <w:t>участник (в том числе в части отдельных лотов)</w:t>
      </w:r>
      <w:r w:rsidR="004F0EEE">
        <w:rPr>
          <w:color w:val="000000"/>
          <w:sz w:val="28"/>
          <w:szCs w:val="28"/>
        </w:rPr>
        <w:t>.</w:t>
      </w:r>
      <w:r w:rsidR="00246C84" w:rsidRPr="00154BE1">
        <w:rPr>
          <w:sz w:val="28"/>
          <w:szCs w:val="28"/>
        </w:rPr>
        <w:t xml:space="preserve"> </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 по цене, предложенной таким участником аукциона</w:t>
      </w:r>
      <w:r>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lastRenderedPageBreak/>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w:t>
      </w:r>
      <w:r w:rsidRPr="00154BE1">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несостоявшейся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5597" w:rsidRPr="00154BE1" w:rsidRDefault="00DB5597" w:rsidP="00DB5597">
      <w:pPr>
        <w:autoSpaceDE w:val="0"/>
        <w:autoSpaceDN w:val="0"/>
        <w:adjustRightInd w:val="0"/>
        <w:ind w:firstLine="851"/>
        <w:jc w:val="both"/>
        <w:rPr>
          <w:sz w:val="28"/>
          <w:szCs w:val="28"/>
        </w:rPr>
      </w:pPr>
      <w:r w:rsidRPr="00154BE1">
        <w:rPr>
          <w:sz w:val="28"/>
          <w:szCs w:val="28"/>
        </w:rPr>
        <w:lastRenderedPageBreak/>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0"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1"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lastRenderedPageBreak/>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или декларацию/</w:t>
      </w:r>
      <w:proofErr w:type="spellStart"/>
      <w:r w:rsidRPr="00154BE1">
        <w:rPr>
          <w:sz w:val="28"/>
          <w:szCs w:val="28"/>
        </w:rPr>
        <w:t>ии</w:t>
      </w:r>
      <w:proofErr w:type="spellEnd"/>
      <w:r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w:t>
      </w:r>
      <w:r w:rsidRPr="00154BE1">
        <w:rPr>
          <w:sz w:val="28"/>
          <w:szCs w:val="28"/>
        </w:rPr>
        <w:lastRenderedPageBreak/>
        <w:t xml:space="preserve">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lastRenderedPageBreak/>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2"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средств в размере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средств в размере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lastRenderedPageBreak/>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 xml:space="preserve">или одним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r w:rsidRPr="00154BE1">
        <w:rPr>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с даты получения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lastRenderedPageBreak/>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обязательства гаранта перед бенефициаром по банковской гарантии прекращаются только в случаях, </w:t>
      </w:r>
      <w:r w:rsidRPr="00154BE1">
        <w:rPr>
          <w:sz w:val="28"/>
          <w:szCs w:val="28"/>
        </w:rPr>
        <w:lastRenderedPageBreak/>
        <w:t>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lastRenderedPageBreak/>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 xml:space="preserve">Исполнение договора может обеспечиваться как предоставлением банковской гарантии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w:t>
      </w:r>
      <w:r w:rsidRPr="00E95D6F">
        <w:rPr>
          <w:sz w:val="28"/>
          <w:szCs w:val="28"/>
        </w:rPr>
        <w:lastRenderedPageBreak/>
        <w:t>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392FF4" w:rsidRDefault="00246C84" w:rsidP="00DE5004">
      <w:pPr>
        <w:pStyle w:val="a8"/>
        <w:numPr>
          <w:ilvl w:val="2"/>
          <w:numId w:val="35"/>
        </w:numPr>
        <w:ind w:left="0" w:firstLine="709"/>
        <w:rPr>
          <w:sz w:val="28"/>
          <w:szCs w:val="28"/>
        </w:rPr>
      </w:pPr>
      <w:r w:rsidRPr="00154BE1">
        <w:rPr>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F13420" w:rsidRDefault="00246C84" w:rsidP="00DE5004">
      <w:pPr>
        <w:pStyle w:val="a8"/>
        <w:numPr>
          <w:ilvl w:val="2"/>
          <w:numId w:val="35"/>
        </w:numPr>
        <w:ind w:left="0" w:firstLine="709"/>
        <w:rPr>
          <w:sz w:val="28"/>
          <w:szCs w:val="28"/>
        </w:rPr>
      </w:pPr>
      <w:r w:rsidRPr="00154BE1">
        <w:rPr>
          <w:sz w:val="28"/>
          <w:szCs w:val="28"/>
        </w:rPr>
        <w:lastRenderedPageBreak/>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lastRenderedPageBreak/>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r w:rsidRPr="00154BE1">
        <w:rPr>
          <w:spacing w:val="-2"/>
          <w:sz w:val="28"/>
          <w:szCs w:val="28"/>
        </w:rPr>
        <w:t xml:space="preserve">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w:t>
      </w:r>
      <w:r w:rsidR="00FC39C7">
        <w:rPr>
          <w:sz w:val="28"/>
          <w:szCs w:val="28"/>
        </w:rPr>
        <w:t xml:space="preserve">через ЭТЗП </w:t>
      </w:r>
      <w:r>
        <w:rPr>
          <w:sz w:val="28"/>
          <w:szCs w:val="28"/>
        </w:rPr>
        <w:t xml:space="preserve">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lastRenderedPageBreak/>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с даты размещения на сайтах итогового протокола.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Default="00646CEC" w:rsidP="00DE5004">
      <w:pPr>
        <w:pStyle w:val="a6"/>
        <w:numPr>
          <w:ilvl w:val="2"/>
          <w:numId w:val="35"/>
        </w:numPr>
        <w:ind w:left="0" w:firstLine="709"/>
        <w:jc w:val="both"/>
        <w:rPr>
          <w:color w:val="000000"/>
          <w:sz w:val="28"/>
          <w:szCs w:val="28"/>
        </w:rPr>
      </w:pPr>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Участник аукциона, с которым заключается договор, 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lastRenderedPageBreak/>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чем указана в его ценовом предложении без изменения иных условий договора</w:t>
      </w:r>
      <w:r w:rsidRPr="00154BE1">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 с таким участником), в случае возникновения обстоятельств </w:t>
      </w:r>
      <w:hyperlink r:id="rId14"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w:t>
      </w:r>
      <w:r w:rsidRPr="0024675B">
        <w:rPr>
          <w:sz w:val="28"/>
          <w:szCs w:val="28"/>
        </w:rPr>
        <w:lastRenderedPageBreak/>
        <w:t>кодексом Российской Федерации</w:t>
      </w:r>
      <w:r w:rsidR="00284657">
        <w:rPr>
          <w:sz w:val="28"/>
          <w:szCs w:val="28"/>
        </w:rPr>
        <w:t>, договором</w:t>
      </w:r>
      <w:r w:rsidRPr="0024675B">
        <w:rPr>
          <w:sz w:val="28"/>
          <w:szCs w:val="28"/>
        </w:rPr>
        <w:t>. В случае недостижения соглашения об изменении условий договора или о его расторжении договор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 порядке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pStyle w:val="a6"/>
        <w:ind w:left="0" w:firstLine="708"/>
        <w:jc w:val="both"/>
        <w:rPr>
          <w:i/>
          <w:sz w:val="28"/>
          <w:szCs w:val="28"/>
        </w:rPr>
      </w:pPr>
      <w:r w:rsidRPr="00154BE1">
        <w:rPr>
          <w:i/>
          <w:sz w:val="28"/>
          <w:szCs w:val="28"/>
        </w:rPr>
        <w:t xml:space="preserve">Раздел аукционной документации «Порядок проведения аукциона» является неизменяемым. </w:t>
      </w:r>
    </w:p>
    <w:p w:rsidR="00246C84" w:rsidRPr="00154BE1" w:rsidRDefault="00246C84" w:rsidP="00246C84">
      <w:pPr>
        <w:pStyle w:val="a6"/>
        <w:ind w:left="0" w:firstLine="708"/>
        <w:jc w:val="both"/>
        <w:rPr>
          <w:i/>
          <w:sz w:val="28"/>
          <w:szCs w:val="28"/>
        </w:rPr>
      </w:pPr>
    </w:p>
    <w:p w:rsidR="00246C84" w:rsidRPr="00154BE1" w:rsidRDefault="00246C84" w:rsidP="00246C84">
      <w:pPr>
        <w:rPr>
          <w:sz w:val="28"/>
          <w:szCs w:val="28"/>
        </w:rPr>
      </w:pPr>
      <w:r w:rsidRPr="00154BE1">
        <w:rPr>
          <w:sz w:val="28"/>
          <w:szCs w:val="28"/>
        </w:rPr>
        <w:br w:type="page"/>
      </w:r>
    </w:p>
    <w:tbl>
      <w:tblPr>
        <w:tblW w:w="0" w:type="auto"/>
        <w:tblLook w:val="0000" w:firstRow="0" w:lastRow="0" w:firstColumn="0" w:lastColumn="0" w:noHBand="0" w:noVBand="0"/>
      </w:tblPr>
      <w:tblGrid>
        <w:gridCol w:w="4785"/>
        <w:gridCol w:w="4785"/>
      </w:tblGrid>
      <w:tr w:rsidR="00E92152" w:rsidRPr="00E95D6F" w:rsidTr="00826EA2">
        <w:tc>
          <w:tcPr>
            <w:tcW w:w="4785" w:type="dxa"/>
          </w:tcPr>
          <w:p w:rsidR="00E92152" w:rsidRPr="00E95D6F" w:rsidRDefault="00E92152" w:rsidP="00826EA2">
            <w:pPr>
              <w:pStyle w:val="2"/>
              <w:suppressAutoHyphens/>
              <w:spacing w:before="0" w:after="0"/>
              <w:jc w:val="center"/>
              <w:rPr>
                <w:rFonts w:ascii="Times New Roman" w:eastAsia="MS Mincho" w:hAnsi="Times New Roman"/>
                <w:i w:val="0"/>
                <w:iCs w:val="0"/>
              </w:rPr>
            </w:pPr>
          </w:p>
        </w:tc>
        <w:tc>
          <w:tcPr>
            <w:tcW w:w="4785" w:type="dxa"/>
          </w:tcPr>
          <w:p w:rsidR="00E92152" w:rsidRPr="00E95D6F" w:rsidRDefault="00E92152" w:rsidP="00826EA2">
            <w:pPr>
              <w:pStyle w:val="2"/>
              <w:suppressAutoHyphens/>
              <w:spacing w:before="0" w:after="0"/>
              <w:ind w:left="615"/>
              <w:rPr>
                <w:rFonts w:ascii="Times New Roman" w:hAnsi="Times New Roman"/>
                <w:b w:val="0"/>
                <w:bCs w:val="0"/>
                <w:i w:val="0"/>
                <w:iCs w:val="0"/>
              </w:rPr>
            </w:pPr>
            <w:r w:rsidRPr="00E95D6F">
              <w:rPr>
                <w:rFonts w:ascii="Times New Roman" w:hAnsi="Times New Roman"/>
                <w:b w:val="0"/>
                <w:bCs w:val="0"/>
                <w:i w:val="0"/>
                <w:iCs w:val="0"/>
              </w:rPr>
              <w:t>Приложение № 3.1</w:t>
            </w:r>
          </w:p>
          <w:p w:rsidR="00E92152" w:rsidRPr="00E95D6F" w:rsidRDefault="00E92152" w:rsidP="00826EA2">
            <w:pPr>
              <w:pStyle w:val="2"/>
              <w:suppressAutoHyphens/>
              <w:spacing w:before="0" w:after="0"/>
              <w:ind w:left="615"/>
              <w:rPr>
                <w:rFonts w:ascii="Times New Roman" w:eastAsia="MS Mincho" w:hAnsi="Times New Roman"/>
                <w:b w:val="0"/>
                <w:bCs w:val="0"/>
                <w:i w:val="0"/>
                <w:iCs w:val="0"/>
                <w:sz w:val="24"/>
              </w:rPr>
            </w:pPr>
            <w:r w:rsidRPr="00E95D6F">
              <w:rPr>
                <w:rFonts w:ascii="Times New Roman" w:hAnsi="Times New Roman"/>
                <w:b w:val="0"/>
                <w:bCs w:val="0"/>
                <w:i w:val="0"/>
                <w:iCs w:val="0"/>
              </w:rPr>
              <w:t>к аукционной документации</w:t>
            </w:r>
          </w:p>
        </w:tc>
      </w:tr>
    </w:tbl>
    <w:p w:rsidR="00E92152" w:rsidRPr="00E95D6F" w:rsidRDefault="00E92152" w:rsidP="00E92152"/>
    <w:p w:rsidR="00E92152" w:rsidRPr="00E95D6F" w:rsidRDefault="00E92152" w:rsidP="00E92152">
      <w:pPr>
        <w:rPr>
          <w:sz w:val="28"/>
          <w:szCs w:val="28"/>
        </w:rPr>
      </w:pPr>
    </w:p>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заявки</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1.4 аукционной документации установлено требование о предоставлении обеспечения заявки)</w:t>
      </w:r>
    </w:p>
    <w:p w:rsidR="00E92152" w:rsidRPr="00E95D6F" w:rsidRDefault="00E92152" w:rsidP="00E92152">
      <w:pPr>
        <w:tabs>
          <w:tab w:val="center" w:pos="4923"/>
          <w:tab w:val="left" w:pos="6448"/>
        </w:tabs>
        <w:rPr>
          <w:sz w:val="28"/>
          <w:szCs w:val="28"/>
        </w:rPr>
      </w:pPr>
    </w:p>
    <w:p w:rsidR="00E92152" w:rsidRPr="00E95D6F" w:rsidRDefault="00E92152" w:rsidP="00E92152">
      <w:pPr>
        <w:widowControl w:val="0"/>
        <w:shd w:val="clear" w:color="auto" w:fill="FFFFFF"/>
        <w:ind w:firstLine="851"/>
        <w:jc w:val="center"/>
        <w:rPr>
          <w:sz w:val="28"/>
          <w:szCs w:val="28"/>
        </w:rPr>
      </w:pPr>
      <w:r w:rsidRPr="00E95D6F">
        <w:rPr>
          <w:b/>
          <w:bCs/>
          <w:sz w:val="28"/>
          <w:szCs w:val="28"/>
        </w:rPr>
        <w:t xml:space="preserve">БАНКОВСКАЯ ГАРАНТИЯ № </w:t>
      </w:r>
      <w:r w:rsidRPr="00E95D6F">
        <w:rPr>
          <w:sz w:val="28"/>
          <w:szCs w:val="28"/>
        </w:rPr>
        <w:t>______________</w:t>
      </w:r>
    </w:p>
    <w:p w:rsidR="00E92152" w:rsidRPr="00E95D6F" w:rsidRDefault="00E92152" w:rsidP="00E92152">
      <w:pPr>
        <w:widowControl w:val="0"/>
        <w:shd w:val="clear" w:color="auto" w:fill="FFFFFF"/>
        <w:tabs>
          <w:tab w:val="decimal" w:pos="9180"/>
        </w:tabs>
        <w:ind w:firstLine="851"/>
        <w:jc w:val="both"/>
        <w:rPr>
          <w:sz w:val="28"/>
          <w:szCs w:val="28"/>
        </w:rPr>
      </w:pPr>
    </w:p>
    <w:p w:rsidR="00E92152" w:rsidRPr="00E95D6F" w:rsidRDefault="00E92152" w:rsidP="00E92152">
      <w:pPr>
        <w:widowControl w:val="0"/>
        <w:shd w:val="clear" w:color="auto" w:fill="FFFFFF"/>
        <w:tabs>
          <w:tab w:val="decimal" w:pos="9356"/>
        </w:tabs>
        <w:jc w:val="both"/>
        <w:rPr>
          <w:rStyle w:val="aff1"/>
          <w:sz w:val="28"/>
          <w:szCs w:val="28"/>
        </w:rPr>
      </w:pPr>
      <w:r w:rsidRPr="00E95D6F">
        <w:rPr>
          <w:b/>
          <w:sz w:val="28"/>
          <w:szCs w:val="28"/>
        </w:rPr>
        <w:t>город ___________</w:t>
      </w:r>
      <w:r w:rsidRPr="00E95D6F">
        <w:rPr>
          <w:b/>
          <w:sz w:val="28"/>
          <w:szCs w:val="28"/>
        </w:rPr>
        <w:tab/>
        <w:t xml:space="preserve">                   «__» </w:t>
      </w:r>
      <w:r w:rsidRPr="00E95D6F">
        <w:rPr>
          <w:sz w:val="28"/>
          <w:szCs w:val="28"/>
        </w:rPr>
        <w:t>_________________</w:t>
      </w:r>
      <w:r w:rsidRPr="00E95D6F">
        <w:rPr>
          <w:b/>
          <w:sz w:val="28"/>
          <w:szCs w:val="28"/>
        </w:rPr>
        <w:t xml:space="preserve"> года</w:t>
      </w:r>
      <w:r w:rsidRPr="00E95D6F" w:rsidDel="006B26FC">
        <w:rPr>
          <w:rStyle w:val="aff1"/>
          <w:sz w:val="28"/>
          <w:szCs w:val="28"/>
        </w:rPr>
        <w:t xml:space="preserve"> </w:t>
      </w:r>
    </w:p>
    <w:p w:rsidR="00E92152" w:rsidRPr="00E95D6F" w:rsidRDefault="00E92152" w:rsidP="00E92152">
      <w:pPr>
        <w:widowControl w:val="0"/>
        <w:shd w:val="clear" w:color="auto" w:fill="FFFFFF"/>
        <w:tabs>
          <w:tab w:val="decimal" w:pos="9180"/>
        </w:tabs>
        <w:ind w:firstLine="851"/>
        <w:jc w:val="both"/>
        <w:rPr>
          <w:rStyle w:val="aff1"/>
          <w:sz w:val="28"/>
          <w:szCs w:val="28"/>
        </w:rPr>
      </w:pPr>
    </w:p>
    <w:p w:rsidR="00E92152" w:rsidRPr="00E95D6F" w:rsidRDefault="00E92152" w:rsidP="00E92152">
      <w:pPr>
        <w:widowControl w:val="0"/>
        <w:shd w:val="clear" w:color="auto" w:fill="FFFFFF"/>
        <w:tabs>
          <w:tab w:val="decimal" w:pos="9180"/>
        </w:tabs>
        <w:ind w:firstLine="851"/>
        <w:jc w:val="both"/>
        <w:rPr>
          <w:sz w:val="28"/>
          <w:szCs w:val="28"/>
        </w:rPr>
      </w:pPr>
      <w:r w:rsidRPr="00E95D6F">
        <w:rPr>
          <w:sz w:val="28"/>
          <w:szCs w:val="28"/>
        </w:rPr>
        <w:t xml:space="preserve">Настоящим _________________________________,  ИНН _________________, КПП </w:t>
      </w:r>
      <w:r w:rsidRPr="00E95D6F">
        <w:rPr>
          <w:rStyle w:val="wmi-callto"/>
          <w:bCs/>
          <w:sz w:val="28"/>
          <w:szCs w:val="28"/>
        </w:rPr>
        <w:t>_____________</w:t>
      </w:r>
      <w:r w:rsidRPr="00E95D6F">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
    <w:p w:rsidR="00E92152" w:rsidRPr="00E95D6F" w:rsidRDefault="00E92152" w:rsidP="00E92152">
      <w:pPr>
        <w:widowControl w:val="0"/>
        <w:ind w:firstLine="851"/>
        <w:jc w:val="both"/>
        <w:rPr>
          <w:sz w:val="28"/>
          <w:szCs w:val="28"/>
        </w:rPr>
      </w:pPr>
      <w:r w:rsidRPr="00E95D6F">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bl>
    <w:p w:rsidR="00E92152" w:rsidRPr="00E95D6F" w:rsidRDefault="00E92152" w:rsidP="00E92152">
      <w:pPr>
        <w:tabs>
          <w:tab w:val="left" w:pos="540"/>
        </w:tabs>
        <w:ind w:firstLine="851"/>
        <w:jc w:val="both"/>
        <w:rPr>
          <w:sz w:val="28"/>
          <w:szCs w:val="28"/>
        </w:rPr>
      </w:pPr>
      <w:r w:rsidRPr="00E95D6F">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92152" w:rsidRPr="00E95D6F" w:rsidRDefault="00E92152" w:rsidP="00E92152">
      <w:pPr>
        <w:tabs>
          <w:tab w:val="left" w:pos="540"/>
        </w:tabs>
        <w:ind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Адрес места нахождения</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Срок действия Гарантии</w:t>
            </w:r>
          </w:p>
        </w:tc>
        <w:tc>
          <w:tcPr>
            <w:tcW w:w="7335" w:type="dxa"/>
          </w:tcPr>
          <w:p w:rsidR="00E92152" w:rsidRPr="00E95D6F" w:rsidRDefault="00E92152" w:rsidP="00826EA2">
            <w:pPr>
              <w:pStyle w:val="a6"/>
              <w:widowControl w:val="0"/>
              <w:ind w:left="0" w:firstLine="851"/>
              <w:jc w:val="both"/>
              <w:rPr>
                <w:sz w:val="28"/>
                <w:szCs w:val="28"/>
              </w:rPr>
            </w:pPr>
            <w:r w:rsidRPr="00E95D6F">
              <w:rPr>
                <w:sz w:val="28"/>
                <w:szCs w:val="28"/>
              </w:rPr>
              <w:t xml:space="preserve">Гарантия вступает в силу с «__»_______20__года  и действует до «__»_______20__года включительно. </w:t>
            </w:r>
          </w:p>
          <w:p w:rsidR="00E92152" w:rsidRPr="00E95D6F" w:rsidRDefault="00E92152" w:rsidP="00826EA2">
            <w:pPr>
              <w:widowControl w:val="0"/>
              <w:ind w:firstLine="851"/>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851"/>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7056"/>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92152" w:rsidRPr="00E95D6F" w:rsidRDefault="00E92152" w:rsidP="00E92152">
      <w:pPr>
        <w:pStyle w:val="a6"/>
        <w:widowControl w:val="0"/>
        <w:numPr>
          <w:ilvl w:val="0"/>
          <w:numId w:val="41"/>
        </w:numPr>
        <w:ind w:left="0" w:firstLine="851"/>
        <w:jc w:val="both"/>
        <w:rPr>
          <w:sz w:val="28"/>
          <w:szCs w:val="28"/>
        </w:rPr>
      </w:pPr>
      <w:r w:rsidRPr="00E95D6F">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w:t>
      </w:r>
      <w:r w:rsidRPr="00E95D6F">
        <w:rPr>
          <w:sz w:val="28"/>
          <w:szCs w:val="28"/>
        </w:rPr>
        <w:lastRenderedPageBreak/>
        <w:t>договора от БЕНЕФИЦИАРА;</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отказ ПРИНЦИПАЛА от подписания договора (далее - Договор) в порядке, установленном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Договора в срок, установленный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E95D6F" w:rsidDel="00984303">
        <w:rPr>
          <w:sz w:val="28"/>
          <w:szCs w:val="28"/>
        </w:rPr>
        <w:t xml:space="preserve"> </w:t>
      </w:r>
      <w:r w:rsidRPr="00E95D6F">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39"/>
        </w:numPr>
        <w:shd w:val="clear" w:color="auto" w:fill="FFFFFF"/>
        <w:ind w:left="0" w:firstLine="851"/>
        <w:jc w:val="both"/>
        <w:rPr>
          <w:bCs/>
          <w:sz w:val="28"/>
          <w:szCs w:val="28"/>
        </w:rPr>
      </w:pPr>
      <w:r w:rsidRPr="00E95D6F">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Допускается передача БЕНЕФИЦИАРОМ права требования по </w:t>
      </w:r>
      <w:r w:rsidRPr="00E95D6F">
        <w:rPr>
          <w:sz w:val="28"/>
          <w:szCs w:val="28"/>
        </w:rPr>
        <w:lastRenderedPageBreak/>
        <w:t xml:space="preserve">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E92152" w:rsidRPr="00E95D6F" w:rsidRDefault="00E92152" w:rsidP="00E92152">
      <w:pPr>
        <w:pStyle w:val="a6"/>
        <w:widowControl w:val="0"/>
        <w:numPr>
          <w:ilvl w:val="0"/>
          <w:numId w:val="39"/>
        </w:numPr>
        <w:ind w:left="0" w:firstLine="851"/>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до истечения срока действия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E92152" w:rsidRPr="00E95D6F" w:rsidRDefault="00E92152" w:rsidP="00E92152">
      <w:pPr>
        <w:autoSpaceDE w:val="0"/>
        <w:autoSpaceDN w:val="0"/>
        <w:adjustRightInd w:val="0"/>
        <w:ind w:firstLine="851"/>
        <w:jc w:val="both"/>
        <w:rPr>
          <w:sz w:val="28"/>
          <w:szCs w:val="28"/>
        </w:rPr>
      </w:pPr>
      <w:r w:rsidRPr="00E95D6F">
        <w:rPr>
          <w:sz w:val="28"/>
          <w:szCs w:val="28"/>
        </w:rPr>
        <w:t>К Требованию платежа по Гарантии, представленному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карточки с образцами подписей уполномоченных лиц БЕНЕФИЦИАРА.</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Расходы, возникающие в связи с перечислением денежных средств </w:t>
      </w:r>
      <w:r w:rsidRPr="00E95D6F">
        <w:rPr>
          <w:sz w:val="28"/>
          <w:szCs w:val="28"/>
        </w:rPr>
        <w:lastRenderedPageBreak/>
        <w:t>ГАРАНТОМ по Гарантии, несет ГАРАНТ.</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p>
        </w:tc>
        <w:tc>
          <w:tcPr>
            <w:tcW w:w="2552" w:type="dxa"/>
          </w:tcPr>
          <w:p w:rsidR="00E92152" w:rsidRPr="00E95D6F" w:rsidRDefault="00E92152" w:rsidP="00826EA2">
            <w:pPr>
              <w:pStyle w:val="23"/>
              <w:spacing w:after="0" w:line="240" w:lineRule="auto"/>
              <w:jc w:val="both"/>
              <w:rPr>
                <w:bCs/>
                <w:sz w:val="28"/>
                <w:szCs w:val="28"/>
              </w:rPr>
            </w:pPr>
            <w:r w:rsidRPr="00E95D6F">
              <w:rPr>
                <w:bCs/>
                <w:sz w:val="28"/>
                <w:szCs w:val="28"/>
              </w:rPr>
              <w:t>______________________</w:t>
            </w:r>
          </w:p>
        </w:tc>
        <w:tc>
          <w:tcPr>
            <w:tcW w:w="3508" w:type="dxa"/>
          </w:tcPr>
          <w:p w:rsidR="00E92152" w:rsidRPr="00E95D6F" w:rsidRDefault="00E92152" w:rsidP="00826EA2">
            <w:pPr>
              <w:pStyle w:val="23"/>
              <w:spacing w:after="0" w:line="240" w:lineRule="auto"/>
              <w:jc w:val="center"/>
              <w:rPr>
                <w:bCs/>
                <w:sz w:val="28"/>
                <w:szCs w:val="28"/>
              </w:rPr>
            </w:pPr>
          </w:p>
        </w:tc>
      </w:tr>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r w:rsidRPr="00E95D6F">
              <w:rPr>
                <w:sz w:val="28"/>
                <w:szCs w:val="28"/>
              </w:rPr>
              <w:t xml:space="preserve">Представитель </w:t>
            </w:r>
          </w:p>
        </w:tc>
        <w:tc>
          <w:tcPr>
            <w:tcW w:w="2552" w:type="dxa"/>
          </w:tcPr>
          <w:p w:rsidR="00E92152" w:rsidRPr="00E95D6F" w:rsidRDefault="00E92152" w:rsidP="00826EA2">
            <w:pPr>
              <w:pStyle w:val="23"/>
              <w:spacing w:after="0" w:line="240" w:lineRule="auto"/>
              <w:jc w:val="center"/>
              <w:rPr>
                <w:bCs/>
                <w:sz w:val="28"/>
                <w:szCs w:val="28"/>
              </w:rPr>
            </w:pPr>
            <w:r w:rsidRPr="00E95D6F">
              <w:rPr>
                <w:sz w:val="28"/>
                <w:szCs w:val="28"/>
              </w:rPr>
              <w:t>(подпись)</w:t>
            </w:r>
          </w:p>
        </w:tc>
        <w:tc>
          <w:tcPr>
            <w:tcW w:w="3508" w:type="dxa"/>
          </w:tcPr>
          <w:p w:rsidR="00E92152" w:rsidRPr="00E95D6F" w:rsidRDefault="00E92152" w:rsidP="00826EA2">
            <w:pPr>
              <w:pStyle w:val="23"/>
              <w:spacing w:after="0" w:line="240" w:lineRule="auto"/>
              <w:jc w:val="center"/>
              <w:rPr>
                <w:bCs/>
                <w:sz w:val="28"/>
                <w:szCs w:val="28"/>
              </w:rPr>
            </w:pPr>
            <w:r w:rsidRPr="00E95D6F">
              <w:rPr>
                <w:sz w:val="28"/>
                <w:szCs w:val="28"/>
              </w:rPr>
              <w:t>(Ф.И.О.)</w:t>
            </w:r>
          </w:p>
        </w:tc>
      </w:tr>
    </w:tbl>
    <w:p w:rsidR="00E92152" w:rsidRDefault="00E92152" w:rsidP="00246C84">
      <w:pPr>
        <w:pStyle w:val="11"/>
        <w:ind w:left="5670" w:firstLine="0"/>
        <w:rPr>
          <w:rFonts w:eastAsia="MS Mincho"/>
          <w:szCs w:val="28"/>
        </w:rPr>
      </w:pPr>
    </w:p>
    <w:p w:rsidR="00E92152" w:rsidRDefault="00E92152">
      <w:pPr>
        <w:spacing w:after="200" w:line="276" w:lineRule="auto"/>
        <w:rPr>
          <w:rFonts w:eastAsia="MS Mincho"/>
          <w:sz w:val="28"/>
          <w:szCs w:val="28"/>
        </w:rPr>
      </w:pPr>
      <w:r>
        <w:rPr>
          <w:rFonts w:eastAsia="MS Mincho"/>
          <w:szCs w:val="28"/>
        </w:rPr>
        <w:br w:type="page"/>
      </w:r>
    </w:p>
    <w:p w:rsidR="00E92152" w:rsidRPr="00E95D6F" w:rsidRDefault="00E92152" w:rsidP="00E92152">
      <w:pPr>
        <w:jc w:val="right"/>
        <w:rPr>
          <w:sz w:val="28"/>
          <w:szCs w:val="28"/>
        </w:rPr>
      </w:pPr>
      <w:r w:rsidRPr="00E95D6F">
        <w:rPr>
          <w:sz w:val="28"/>
          <w:szCs w:val="28"/>
        </w:rPr>
        <w:lastRenderedPageBreak/>
        <w:t>Приложение № 3.2</w:t>
      </w:r>
    </w:p>
    <w:p w:rsidR="00E92152" w:rsidRPr="00E95D6F" w:rsidRDefault="00E92152" w:rsidP="00E92152">
      <w:pPr>
        <w:jc w:val="right"/>
        <w:rPr>
          <w:sz w:val="28"/>
          <w:szCs w:val="28"/>
        </w:rPr>
      </w:pPr>
      <w:r w:rsidRPr="00E95D6F">
        <w:rPr>
          <w:sz w:val="28"/>
          <w:szCs w:val="28"/>
        </w:rPr>
        <w:t>к аукционной документации</w:t>
      </w:r>
    </w:p>
    <w:p w:rsidR="00E92152" w:rsidRPr="00E95D6F" w:rsidRDefault="00E92152" w:rsidP="00E92152"/>
    <w:p w:rsidR="00E92152" w:rsidRPr="00E95D6F" w:rsidRDefault="00E92152" w:rsidP="00E92152"/>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исполнения договора</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1.5 аукционной документации установлено требование о предоставлении обеспечения исполнения договора)</w:t>
      </w:r>
    </w:p>
    <w:p w:rsidR="00E92152" w:rsidRPr="00E95D6F" w:rsidRDefault="00E92152" w:rsidP="00E92152">
      <w:pPr>
        <w:tabs>
          <w:tab w:val="center" w:pos="4923"/>
          <w:tab w:val="left" w:pos="6448"/>
        </w:tabs>
        <w:jc w:val="both"/>
        <w:rPr>
          <w:sz w:val="28"/>
          <w:szCs w:val="28"/>
        </w:rPr>
      </w:pPr>
    </w:p>
    <w:p w:rsidR="00E92152" w:rsidRPr="00E95D6F" w:rsidRDefault="00E92152" w:rsidP="00E92152">
      <w:pPr>
        <w:tabs>
          <w:tab w:val="center" w:pos="4923"/>
          <w:tab w:val="left" w:pos="6448"/>
        </w:tabs>
        <w:jc w:val="both"/>
        <w:rPr>
          <w:sz w:val="28"/>
          <w:szCs w:val="28"/>
        </w:rPr>
      </w:pPr>
    </w:p>
    <w:p w:rsidR="00E92152" w:rsidRPr="00E95D6F" w:rsidRDefault="00E92152" w:rsidP="00E92152">
      <w:pPr>
        <w:widowControl w:val="0"/>
        <w:shd w:val="clear" w:color="auto" w:fill="FFFFFF"/>
        <w:ind w:firstLine="709"/>
        <w:jc w:val="center"/>
        <w:rPr>
          <w:sz w:val="28"/>
          <w:szCs w:val="28"/>
        </w:rPr>
      </w:pPr>
      <w:r w:rsidRPr="00E95D6F">
        <w:rPr>
          <w:b/>
          <w:bCs/>
          <w:sz w:val="28"/>
          <w:szCs w:val="28"/>
        </w:rPr>
        <w:t xml:space="preserve">БАНКОВСКАЯ ГАРАНТИЯ № </w:t>
      </w:r>
    </w:p>
    <w:p w:rsidR="00E92152" w:rsidRPr="00E95D6F" w:rsidRDefault="00E92152" w:rsidP="00E92152">
      <w:pPr>
        <w:widowControl w:val="0"/>
        <w:shd w:val="clear" w:color="auto" w:fill="FFFFFF"/>
        <w:tabs>
          <w:tab w:val="decimal" w:pos="9180"/>
        </w:tabs>
        <w:ind w:firstLine="709"/>
        <w:jc w:val="both"/>
        <w:rPr>
          <w:sz w:val="28"/>
          <w:szCs w:val="28"/>
        </w:rPr>
      </w:pPr>
    </w:p>
    <w:p w:rsidR="00E92152" w:rsidRPr="00E95D6F" w:rsidRDefault="00E92152" w:rsidP="00E92152">
      <w:pPr>
        <w:widowControl w:val="0"/>
        <w:shd w:val="clear" w:color="auto" w:fill="FFFFFF"/>
        <w:tabs>
          <w:tab w:val="decimal" w:pos="9214"/>
        </w:tabs>
        <w:jc w:val="both"/>
        <w:rPr>
          <w:b/>
          <w:sz w:val="28"/>
          <w:szCs w:val="28"/>
        </w:rPr>
      </w:pPr>
      <w:r w:rsidRPr="00E95D6F">
        <w:rPr>
          <w:b/>
          <w:sz w:val="28"/>
          <w:szCs w:val="28"/>
        </w:rPr>
        <w:t>город ____________</w:t>
      </w:r>
      <w:r w:rsidRPr="00E95D6F">
        <w:rPr>
          <w:b/>
          <w:sz w:val="28"/>
          <w:szCs w:val="28"/>
        </w:rPr>
        <w:tab/>
        <w:t xml:space="preserve">         «__» </w:t>
      </w:r>
      <w:r w:rsidRPr="00E95D6F">
        <w:rPr>
          <w:sz w:val="28"/>
          <w:szCs w:val="28"/>
        </w:rPr>
        <w:t>_________________</w:t>
      </w:r>
      <w:r w:rsidRPr="00E95D6F">
        <w:rPr>
          <w:b/>
          <w:sz w:val="28"/>
          <w:szCs w:val="28"/>
        </w:rPr>
        <w:t xml:space="preserve"> года</w:t>
      </w:r>
    </w:p>
    <w:p w:rsidR="00E92152" w:rsidRPr="00E95D6F" w:rsidRDefault="00E92152" w:rsidP="00E92152">
      <w:pPr>
        <w:widowControl w:val="0"/>
        <w:shd w:val="clear" w:color="auto" w:fill="FFFFFF"/>
        <w:ind w:firstLine="709"/>
        <w:jc w:val="both"/>
        <w:rPr>
          <w:sz w:val="28"/>
          <w:szCs w:val="28"/>
        </w:rPr>
      </w:pPr>
    </w:p>
    <w:p w:rsidR="00E92152" w:rsidRPr="00E95D6F" w:rsidRDefault="00E92152" w:rsidP="00E92152">
      <w:pPr>
        <w:autoSpaceDE w:val="0"/>
        <w:autoSpaceDN w:val="0"/>
        <w:adjustRightInd w:val="0"/>
        <w:ind w:firstLine="709"/>
        <w:jc w:val="both"/>
        <w:rPr>
          <w:sz w:val="28"/>
          <w:szCs w:val="28"/>
        </w:rPr>
      </w:pPr>
      <w:r w:rsidRPr="00E95D6F">
        <w:rPr>
          <w:sz w:val="28"/>
          <w:szCs w:val="28"/>
        </w:rPr>
        <w:t xml:space="preserve">Настоящим ___________________________________, ИНН ____________, КПП </w:t>
      </w:r>
      <w:r w:rsidRPr="00E95D6F">
        <w:rPr>
          <w:rStyle w:val="wmi-callto"/>
          <w:bCs/>
          <w:sz w:val="28"/>
          <w:szCs w:val="28"/>
        </w:rPr>
        <w:t>__________</w:t>
      </w:r>
      <w:r w:rsidRPr="00E95D6F">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E92152" w:rsidRPr="00E95D6F" w:rsidRDefault="00E92152" w:rsidP="00E92152">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709"/>
              <w:jc w:val="both"/>
              <w:rPr>
                <w:sz w:val="28"/>
                <w:szCs w:val="28"/>
              </w:rPr>
            </w:pP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закупки/номер лота (при наличии)</w:t>
            </w:r>
          </w:p>
        </w:tc>
        <w:tc>
          <w:tcPr>
            <w:tcW w:w="7655" w:type="dxa"/>
          </w:tcPr>
          <w:p w:rsidR="00E92152" w:rsidRPr="00E95D6F" w:rsidRDefault="00E92152" w:rsidP="00826EA2">
            <w:pPr>
              <w:pStyle w:val="a6"/>
              <w:widowControl w:val="0"/>
              <w:ind w:left="0" w:firstLine="709"/>
              <w:jc w:val="both"/>
              <w:rPr>
                <w:sz w:val="28"/>
                <w:szCs w:val="28"/>
              </w:rPr>
            </w:pPr>
          </w:p>
        </w:tc>
      </w:tr>
    </w:tbl>
    <w:p w:rsidR="00E92152" w:rsidRPr="00E95D6F" w:rsidRDefault="00E92152" w:rsidP="00E92152">
      <w:pPr>
        <w:tabs>
          <w:tab w:val="left" w:pos="540"/>
        </w:tabs>
        <w:ind w:firstLine="709"/>
        <w:jc w:val="both"/>
        <w:rPr>
          <w:sz w:val="28"/>
          <w:szCs w:val="28"/>
        </w:rPr>
      </w:pPr>
      <w:r w:rsidRPr="00E95D6F">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E92152" w:rsidRPr="00E95D6F" w:rsidRDefault="00E92152" w:rsidP="00E92152">
      <w:pPr>
        <w:pStyle w:val="a6"/>
        <w:widowControl w:val="0"/>
        <w:numPr>
          <w:ilvl w:val="0"/>
          <w:numId w:val="42"/>
        </w:numPr>
        <w:jc w:val="both"/>
        <w:rPr>
          <w:sz w:val="28"/>
          <w:szCs w:val="28"/>
        </w:rPr>
      </w:pPr>
      <w:r w:rsidRPr="00E95D6F">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ОГРН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lang w:val="en-US"/>
              </w:rPr>
            </w:pPr>
            <w:proofErr w:type="spellStart"/>
            <w:r w:rsidRPr="00E95D6F">
              <w:rPr>
                <w:sz w:val="28"/>
                <w:szCs w:val="28"/>
                <w:lang w:val="en-US"/>
              </w:rPr>
              <w:t>Срок</w:t>
            </w:r>
            <w:proofErr w:type="spellEnd"/>
            <w:r w:rsidRPr="00E95D6F">
              <w:rPr>
                <w:sz w:val="28"/>
                <w:szCs w:val="28"/>
                <w:lang w:val="en-US"/>
              </w:rPr>
              <w:t xml:space="preserve"> </w:t>
            </w:r>
            <w:proofErr w:type="spellStart"/>
            <w:r w:rsidRPr="00E95D6F">
              <w:rPr>
                <w:sz w:val="28"/>
                <w:szCs w:val="28"/>
                <w:lang w:val="en-US"/>
              </w:rPr>
              <w:t>действия</w:t>
            </w:r>
            <w:proofErr w:type="spellEnd"/>
            <w:r w:rsidRPr="00E95D6F">
              <w:rPr>
                <w:sz w:val="28"/>
                <w:szCs w:val="28"/>
                <w:lang w:val="en-US"/>
              </w:rPr>
              <w:t xml:space="preserve"> </w:t>
            </w:r>
            <w:proofErr w:type="spellStart"/>
            <w:r w:rsidRPr="00E95D6F">
              <w:rPr>
                <w:sz w:val="28"/>
                <w:szCs w:val="28"/>
                <w:lang w:val="en-US"/>
              </w:rPr>
              <w:t>Гарантии</w:t>
            </w:r>
            <w:proofErr w:type="spellEnd"/>
          </w:p>
        </w:tc>
        <w:tc>
          <w:tcPr>
            <w:tcW w:w="7335" w:type="dxa"/>
          </w:tcPr>
          <w:p w:rsidR="00E92152" w:rsidRPr="00E95D6F" w:rsidRDefault="00E92152" w:rsidP="00826EA2">
            <w:pPr>
              <w:pStyle w:val="a6"/>
              <w:widowControl w:val="0"/>
              <w:ind w:left="0" w:firstLine="709"/>
              <w:jc w:val="both"/>
              <w:rPr>
                <w:sz w:val="28"/>
                <w:szCs w:val="28"/>
              </w:rPr>
            </w:pPr>
            <w:r w:rsidRPr="00E95D6F">
              <w:rPr>
                <w:sz w:val="28"/>
                <w:szCs w:val="28"/>
              </w:rPr>
              <w:t xml:space="preserve">Гарантия вступает в силу с «__»_______20__года включительно </w:t>
            </w:r>
            <w:r w:rsidRPr="00E95D6F">
              <w:rPr>
                <w:i/>
                <w:sz w:val="28"/>
                <w:szCs w:val="28"/>
              </w:rPr>
              <w:t>или с даты выдачи (выбрать нужное)</w:t>
            </w:r>
            <w:r w:rsidRPr="00E95D6F">
              <w:rPr>
                <w:sz w:val="28"/>
                <w:szCs w:val="28"/>
              </w:rPr>
              <w:t xml:space="preserve"> и действует до «__»_______20__года включительно. </w:t>
            </w:r>
          </w:p>
          <w:p w:rsidR="00E92152" w:rsidRPr="00E95D6F" w:rsidRDefault="00E92152" w:rsidP="00826EA2">
            <w:pPr>
              <w:widowControl w:val="0"/>
              <w:ind w:firstLine="709"/>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709"/>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color w:val="000000"/>
          <w:sz w:val="28"/>
          <w:szCs w:val="28"/>
        </w:rPr>
      </w:pPr>
      <w:r w:rsidRPr="00E95D6F">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E95D6F">
        <w:rPr>
          <w:color w:val="000000"/>
          <w:sz w:val="28"/>
          <w:szCs w:val="28"/>
        </w:rPr>
        <w:t>неисполнение и (или) ненадлежащее исполнение ПРИНЦИПАЛОМ своих обязательств по ДОГОВОРУ, заключаемому по итогам ЗАКУПКИ.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lastRenderedPageBreak/>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К Требованию платежа по Гарантии, предоставленному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нотариально заверенная копия карточки с образцами подписей уполномоченных лиц БЕНЕФИЦИАРА;</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расчет суммы требования по гарантии.</w:t>
      </w:r>
    </w:p>
    <w:p w:rsidR="00E92152" w:rsidRPr="00E95D6F" w:rsidRDefault="00E92152" w:rsidP="00E92152">
      <w:pPr>
        <w:pStyle w:val="a6"/>
        <w:widowControl w:val="0"/>
        <w:numPr>
          <w:ilvl w:val="0"/>
          <w:numId w:val="42"/>
        </w:numPr>
        <w:shd w:val="clear" w:color="auto" w:fill="FFFFFF"/>
        <w:ind w:left="0" w:firstLine="709"/>
        <w:jc w:val="both"/>
        <w:rPr>
          <w:bCs/>
          <w:sz w:val="28"/>
          <w:szCs w:val="28"/>
        </w:rPr>
      </w:pPr>
      <w:r w:rsidRPr="00E95D6F">
        <w:rPr>
          <w:sz w:val="28"/>
          <w:szCs w:val="28"/>
        </w:rPr>
        <w:t>ГАРАНТ в течение 5 (Пяти) рабочих дней со дня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E95D6F">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E92152" w:rsidRPr="00E95D6F" w:rsidRDefault="00E92152" w:rsidP="00E92152">
      <w:pPr>
        <w:pStyle w:val="a6"/>
        <w:widowControl w:val="0"/>
        <w:numPr>
          <w:ilvl w:val="0"/>
          <w:numId w:val="42"/>
        </w:numPr>
        <w:ind w:left="0" w:firstLine="709"/>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Изменения, вносимые в ДОГОВОР, не освобождают ГАРАНТА от исполнения обязательств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732"/>
        <w:gridCol w:w="3296"/>
        <w:gridCol w:w="2820"/>
      </w:tblGrid>
      <w:tr w:rsidR="00E92152" w:rsidRPr="00E95D6F" w:rsidTr="00826EA2">
        <w:tc>
          <w:tcPr>
            <w:tcW w:w="4077" w:type="dxa"/>
          </w:tcPr>
          <w:p w:rsidR="00E92152" w:rsidRPr="00E95D6F" w:rsidRDefault="00E92152" w:rsidP="00826EA2">
            <w:pPr>
              <w:pStyle w:val="23"/>
              <w:spacing w:after="0" w:line="240" w:lineRule="auto"/>
              <w:jc w:val="center"/>
              <w:rPr>
                <w:bCs/>
                <w:color w:val="000000"/>
                <w:sz w:val="28"/>
                <w:szCs w:val="28"/>
              </w:rPr>
            </w:pPr>
          </w:p>
        </w:tc>
        <w:tc>
          <w:tcPr>
            <w:tcW w:w="2552" w:type="dxa"/>
          </w:tcPr>
          <w:p w:rsidR="00E92152" w:rsidRPr="00E95D6F" w:rsidRDefault="00E92152" w:rsidP="00826EA2">
            <w:pPr>
              <w:pStyle w:val="23"/>
              <w:spacing w:after="0" w:line="240" w:lineRule="auto"/>
              <w:jc w:val="both"/>
              <w:rPr>
                <w:bCs/>
                <w:color w:val="000000"/>
                <w:sz w:val="28"/>
                <w:szCs w:val="28"/>
              </w:rPr>
            </w:pPr>
            <w:r w:rsidRPr="00E95D6F">
              <w:rPr>
                <w:bCs/>
                <w:color w:val="000000"/>
                <w:sz w:val="28"/>
                <w:szCs w:val="28"/>
              </w:rPr>
              <w:t>______________________</w:t>
            </w:r>
          </w:p>
        </w:tc>
        <w:tc>
          <w:tcPr>
            <w:tcW w:w="3508" w:type="dxa"/>
          </w:tcPr>
          <w:p w:rsidR="00E92152" w:rsidRPr="00E95D6F" w:rsidRDefault="00E92152" w:rsidP="00826EA2">
            <w:pPr>
              <w:pStyle w:val="23"/>
              <w:spacing w:after="0" w:line="240" w:lineRule="auto"/>
              <w:ind w:firstLine="709"/>
              <w:jc w:val="center"/>
              <w:rPr>
                <w:bCs/>
                <w:color w:val="000000"/>
                <w:sz w:val="28"/>
                <w:szCs w:val="28"/>
              </w:rPr>
            </w:pPr>
          </w:p>
        </w:tc>
      </w:tr>
      <w:tr w:rsidR="00E92152" w:rsidRPr="00E12BBB" w:rsidTr="00826EA2">
        <w:tc>
          <w:tcPr>
            <w:tcW w:w="4077" w:type="dxa"/>
          </w:tcPr>
          <w:p w:rsidR="00E92152" w:rsidRPr="00E95D6F" w:rsidRDefault="00E92152" w:rsidP="00826EA2">
            <w:pPr>
              <w:pStyle w:val="23"/>
              <w:spacing w:after="0" w:line="240" w:lineRule="auto"/>
              <w:rPr>
                <w:bCs/>
                <w:sz w:val="28"/>
                <w:szCs w:val="28"/>
              </w:rPr>
            </w:pPr>
            <w:r w:rsidRPr="00E95D6F">
              <w:rPr>
                <w:sz w:val="28"/>
                <w:szCs w:val="28"/>
              </w:rPr>
              <w:t>Представитель ______________________</w:t>
            </w:r>
          </w:p>
        </w:tc>
        <w:tc>
          <w:tcPr>
            <w:tcW w:w="2552" w:type="dxa"/>
          </w:tcPr>
          <w:p w:rsidR="00E92152" w:rsidRPr="00E95D6F" w:rsidRDefault="00E92152" w:rsidP="00826EA2">
            <w:pPr>
              <w:pStyle w:val="23"/>
              <w:spacing w:after="0" w:line="240" w:lineRule="auto"/>
              <w:ind w:firstLine="709"/>
              <w:jc w:val="center"/>
              <w:rPr>
                <w:bCs/>
                <w:sz w:val="28"/>
                <w:szCs w:val="28"/>
              </w:rPr>
            </w:pPr>
            <w:r w:rsidRPr="00E95D6F">
              <w:rPr>
                <w:sz w:val="28"/>
                <w:szCs w:val="28"/>
              </w:rPr>
              <w:t>(подпись)</w:t>
            </w:r>
          </w:p>
        </w:tc>
        <w:tc>
          <w:tcPr>
            <w:tcW w:w="3508" w:type="dxa"/>
          </w:tcPr>
          <w:p w:rsidR="00E92152" w:rsidRPr="00E12BBB" w:rsidRDefault="00E92152" w:rsidP="00826EA2">
            <w:pPr>
              <w:pStyle w:val="23"/>
              <w:spacing w:after="0" w:line="240" w:lineRule="auto"/>
              <w:ind w:firstLine="709"/>
              <w:jc w:val="center"/>
              <w:rPr>
                <w:bCs/>
                <w:sz w:val="28"/>
                <w:szCs w:val="28"/>
              </w:rPr>
            </w:pPr>
            <w:r w:rsidRPr="00E95D6F">
              <w:rPr>
                <w:sz w:val="28"/>
                <w:szCs w:val="28"/>
              </w:rPr>
              <w:t>(Ф.И.О.)</w:t>
            </w:r>
          </w:p>
        </w:tc>
      </w:tr>
    </w:tbl>
    <w:p w:rsidR="00E92152" w:rsidRDefault="00E92152" w:rsidP="00E92152">
      <w:pPr>
        <w:tabs>
          <w:tab w:val="center" w:pos="4923"/>
          <w:tab w:val="left" w:pos="6448"/>
        </w:tabs>
        <w:jc w:val="both"/>
      </w:pPr>
    </w:p>
    <w:p w:rsidR="00E92152" w:rsidRPr="00750B3C" w:rsidRDefault="00E92152" w:rsidP="00E92152">
      <w:pPr>
        <w:spacing w:line="240" w:lineRule="exact"/>
        <w:rPr>
          <w:sz w:val="28"/>
          <w:szCs w:val="28"/>
        </w:rPr>
      </w:pPr>
    </w:p>
    <w:p w:rsidR="00E92152" w:rsidRDefault="00E92152">
      <w:pPr>
        <w:spacing w:after="200" w:line="276" w:lineRule="auto"/>
        <w:rPr>
          <w:rFonts w:eastAsia="MS Mincho"/>
          <w:sz w:val="28"/>
          <w:szCs w:val="28"/>
        </w:rPr>
      </w:pPr>
      <w:r>
        <w:rPr>
          <w:rFonts w:eastAsia="MS Mincho"/>
          <w:szCs w:val="28"/>
        </w:rPr>
        <w:br w:type="page"/>
      </w:r>
    </w:p>
    <w:p w:rsidR="00FA47F6" w:rsidRDefault="00FA47F6" w:rsidP="000C7189">
      <w:pPr>
        <w:pStyle w:val="33"/>
        <w:rPr>
          <w:sz w:val="28"/>
          <w:szCs w:val="28"/>
        </w:rPr>
        <w:sectPr w:rsidR="00FA47F6" w:rsidSect="00FA47F6">
          <w:headerReference w:type="default" r:id="rId15"/>
          <w:footerReference w:type="default" r:id="rId16"/>
          <w:pgSz w:w="11906" w:h="16838" w:code="9"/>
          <w:pgMar w:top="992" w:right="1134" w:bottom="1134" w:left="924" w:header="794" w:footer="794" w:gutter="0"/>
          <w:cols w:space="708"/>
          <w:titlePg/>
          <w:docGrid w:linePitch="360"/>
        </w:sectPr>
      </w:pPr>
    </w:p>
    <w:p w:rsidR="005F41B6" w:rsidRPr="00CE1ABF" w:rsidRDefault="005F41B6" w:rsidP="005F41B6">
      <w:pPr>
        <w:pStyle w:val="a8"/>
        <w:rPr>
          <w:color w:val="000000"/>
          <w:sz w:val="28"/>
          <w:szCs w:val="28"/>
        </w:rPr>
      </w:pPr>
    </w:p>
    <w:p w:rsidR="005F41B6" w:rsidRPr="00CE1ABF" w:rsidRDefault="005F41B6" w:rsidP="005F41B6">
      <w:pPr>
        <w:pStyle w:val="a8"/>
        <w:rPr>
          <w:color w:val="000000"/>
          <w:sz w:val="28"/>
          <w:szCs w:val="28"/>
        </w:rPr>
      </w:pPr>
    </w:p>
    <w:sectPr w:rsidR="005F41B6" w:rsidRPr="00CE1ABF" w:rsidSect="00FA47F6">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C80" w:rsidRDefault="00452C80" w:rsidP="00246C84">
      <w:r>
        <w:separator/>
      </w:r>
    </w:p>
  </w:endnote>
  <w:endnote w:type="continuationSeparator" w:id="0">
    <w:p w:rsidR="00452C80" w:rsidRDefault="00452C80" w:rsidP="0024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1F11A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C80" w:rsidRDefault="00452C80" w:rsidP="00246C84">
      <w:r>
        <w:separator/>
      </w:r>
    </w:p>
  </w:footnote>
  <w:footnote w:type="continuationSeparator" w:id="0">
    <w:p w:rsidR="00452C80" w:rsidRDefault="00452C80" w:rsidP="0024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452C80">
    <w:pPr>
      <w:pStyle w:val="af0"/>
      <w:jc w:val="center"/>
    </w:pPr>
    <w:r>
      <w:fldChar w:fldCharType="begin"/>
    </w:r>
    <w:r>
      <w:instrText xml:space="preserve"> PAGE   \* MERGEFORMAT </w:instrText>
    </w:r>
    <w:r>
      <w:fldChar w:fldCharType="separate"/>
    </w:r>
    <w:r w:rsidR="00616097">
      <w:rPr>
        <w:noProof/>
      </w:rPr>
      <w:t>24</w:t>
    </w:r>
    <w:r>
      <w:rPr>
        <w:noProof/>
      </w:rPr>
      <w:fldChar w:fldCharType="end"/>
    </w:r>
  </w:p>
  <w:p w:rsidR="001F11AF" w:rsidRDefault="001F11A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15:restartNumberingAfterBreak="0">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15:restartNumberingAfterBreak="0">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9"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7"/>
  </w:num>
  <w:num w:numId="6">
    <w:abstractNumId w:val="3"/>
  </w:num>
  <w:num w:numId="7">
    <w:abstractNumId w:val="39"/>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6"/>
  </w:num>
  <w:num w:numId="15">
    <w:abstractNumId w:val="0"/>
  </w:num>
  <w:num w:numId="16">
    <w:abstractNumId w:val="1"/>
  </w:num>
  <w:num w:numId="17">
    <w:abstractNumId w:val="10"/>
  </w:num>
  <w:num w:numId="18">
    <w:abstractNumId w:val="25"/>
  </w:num>
  <w:num w:numId="19">
    <w:abstractNumId w:val="35"/>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4"/>
  </w:num>
  <w:num w:numId="28">
    <w:abstractNumId w:val="40"/>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8"/>
  </w:num>
  <w:num w:numId="38">
    <w:abstractNumId w:val="21"/>
  </w:num>
  <w:num w:numId="39">
    <w:abstractNumId w:val="15"/>
  </w:num>
  <w:num w:numId="40">
    <w:abstractNumId w:val="9"/>
  </w:num>
  <w:num w:numId="41">
    <w:abstractNumId w:val="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7B90"/>
    <w:rsid w:val="00443587"/>
    <w:rsid w:val="00445A5C"/>
    <w:rsid w:val="004470E5"/>
    <w:rsid w:val="0044784E"/>
    <w:rsid w:val="00447A2A"/>
    <w:rsid w:val="00452C80"/>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19FA"/>
    <w:rsid w:val="00524ED6"/>
    <w:rsid w:val="0053089E"/>
    <w:rsid w:val="005340CA"/>
    <w:rsid w:val="0053492E"/>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41B6"/>
    <w:rsid w:val="006052E7"/>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EAA"/>
    <w:rsid w:val="00C06AF2"/>
    <w:rsid w:val="00C15243"/>
    <w:rsid w:val="00C15A7B"/>
    <w:rsid w:val="00C15E5A"/>
    <w:rsid w:val="00C26C28"/>
    <w:rsid w:val="00C31F3F"/>
    <w:rsid w:val="00C41ECD"/>
    <w:rsid w:val="00C446DE"/>
    <w:rsid w:val="00C4475D"/>
    <w:rsid w:val="00C44FEF"/>
    <w:rsid w:val="00C52154"/>
    <w:rsid w:val="00C528BA"/>
    <w:rsid w:val="00C561E5"/>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65188"/>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211EC-65B7-483E-8E9C-A6AA62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Заголовок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26373A6C0DC5BE1AE5BF247482912E1BCBC98009FFC480FB735D20C5DBt3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hyperlink" Target="consultantplus://offline/ref=DB4556BEF068E14246F309E37FBE6220D02A79E53A547AFC60558841558DA4932B204D70385EFA9ALD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4D8CA-A9E1-4EC1-94D3-C96396128D69}">
  <ds:schemaRefs>
    <ds:schemaRef ds:uri="http://schemas.openxmlformats.org/officeDocument/2006/bibliography"/>
  </ds:schemaRefs>
</ds:datastoreItem>
</file>

<file path=customXml/itemProps2.xml><?xml version="1.0" encoding="utf-8"?>
<ds:datastoreItem xmlns:ds="http://schemas.openxmlformats.org/officeDocument/2006/customXml" ds:itemID="{BA8D31C3-30D9-4CD4-AFD8-1A10C05B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14525</Words>
  <Characters>82794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2019-03-13T09:56:00Z</cp:lastPrinted>
  <dcterms:created xsi:type="dcterms:W3CDTF">2019-06-25T05:05:00Z</dcterms:created>
  <dcterms:modified xsi:type="dcterms:W3CDTF">2019-06-25T05:05:00Z</dcterms:modified>
</cp:coreProperties>
</file>