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2BEBF880" w:rsidR="006D7D15" w:rsidRDefault="006D7D15" w:rsidP="00AE65B4">
      <w:pPr>
        <w:pStyle w:val="11"/>
        <w:ind w:firstLine="0"/>
        <w:jc w:val="center"/>
        <w:rPr>
          <w:rFonts w:eastAsia="MS Mincho"/>
          <w:b/>
          <w:szCs w:val="28"/>
        </w:rPr>
      </w:pPr>
      <w:r w:rsidRPr="00DE6E5A">
        <w:rPr>
          <w:rFonts w:eastAsia="MS Mincho"/>
          <w:b/>
          <w:szCs w:val="28"/>
        </w:rPr>
        <w:t>Извещение</w:t>
      </w:r>
      <w:r w:rsidR="00196C54">
        <w:rPr>
          <w:rFonts w:eastAsia="MS Mincho"/>
          <w:b/>
          <w:szCs w:val="28"/>
        </w:rPr>
        <w:t xml:space="preserve"> № </w:t>
      </w:r>
      <w:r w:rsidR="00196C54" w:rsidRPr="00196C54">
        <w:rPr>
          <w:rFonts w:eastAsia="MS Mincho"/>
          <w:b/>
          <w:szCs w:val="28"/>
        </w:rPr>
        <w:t>32514661610</w:t>
      </w:r>
      <w:r w:rsidR="00196C54">
        <w:rPr>
          <w:rFonts w:eastAsia="MS Mincho"/>
          <w:b/>
          <w:szCs w:val="28"/>
        </w:rPr>
        <w:t xml:space="preserve"> от 27.03.2025</w:t>
      </w:r>
      <w:bookmarkStart w:id="1" w:name="_GoBack"/>
      <w:bookmarkEnd w:id="1"/>
      <w:r w:rsidRPr="00DE6E5A">
        <w:rPr>
          <w:rFonts w:eastAsia="MS Mincho"/>
          <w:b/>
          <w:szCs w:val="28"/>
        </w:rPr>
        <w:t xml:space="preserve"> о проведении</w:t>
      </w:r>
    </w:p>
    <w:p w14:paraId="2FD6EC1C" w14:textId="79832E4A"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1</w:t>
      </w:r>
      <w:r w:rsidR="006E30ED">
        <w:rPr>
          <w:b/>
          <w:bCs/>
          <w:sz w:val="28"/>
          <w:szCs w:val="28"/>
        </w:rPr>
        <w:t>7</w:t>
      </w:r>
      <w:r w:rsidR="00937B46">
        <w:rPr>
          <w:b/>
          <w:bCs/>
          <w:sz w:val="28"/>
          <w:szCs w:val="28"/>
        </w:rPr>
        <w:t>6</w:t>
      </w:r>
      <w:r>
        <w:rPr>
          <w:b/>
          <w:bCs/>
          <w:sz w:val="28"/>
          <w:szCs w:val="28"/>
        </w:rPr>
        <w:t>/</w:t>
      </w:r>
      <w:r w:rsidR="00AE65B4" w:rsidRPr="00AE65B4">
        <w:rPr>
          <w:b/>
          <w:bCs/>
          <w:sz w:val="28"/>
          <w:szCs w:val="28"/>
        </w:rPr>
        <w:t xml:space="preserve">АЭ-ПКС/Т </w:t>
      </w:r>
      <w:r w:rsidR="006E30ED" w:rsidRPr="006E30ED">
        <w:rPr>
          <w:b/>
          <w:bCs/>
          <w:sz w:val="28"/>
          <w:szCs w:val="28"/>
        </w:rPr>
        <w:t>на право заключения договора</w:t>
      </w:r>
      <w:r w:rsidR="00937B46">
        <w:rPr>
          <w:b/>
          <w:bCs/>
          <w:sz w:val="28"/>
          <w:szCs w:val="28"/>
        </w:rPr>
        <w:t xml:space="preserve"> оказания услуг по ремонту и обслуживанию кондиционеров в пассажирских вагонах</w:t>
      </w:r>
      <w:r>
        <w:rPr>
          <w:b/>
          <w:bCs/>
          <w:sz w:val="28"/>
          <w:szCs w:val="28"/>
        </w:rPr>
        <w:t xml:space="preserve"> </w:t>
      </w: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4FB81533"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proofErr w:type="spellStart"/>
              <w:r w:rsidR="00AE65B4" w:rsidRPr="00386A78">
                <w:rPr>
                  <w:rStyle w:val="af5"/>
                  <w:sz w:val="28"/>
                  <w:szCs w:val="28"/>
                  <w:lang w:val="en-US"/>
                </w:rPr>
                <w:t>pk</w:t>
              </w:r>
              <w:proofErr w:type="spellEnd"/>
              <w:r w:rsidR="00AE65B4" w:rsidRPr="00386A78">
                <w:rPr>
                  <w:rStyle w:val="af5"/>
                  <w:sz w:val="28"/>
                  <w:szCs w:val="28"/>
                </w:rPr>
                <w:t>-</w:t>
              </w:r>
              <w:proofErr w:type="spellStart"/>
              <w:r w:rsidR="00AE65B4" w:rsidRPr="00386A78">
                <w:rPr>
                  <w:rStyle w:val="af5"/>
                  <w:sz w:val="28"/>
                  <w:szCs w:val="28"/>
                  <w:lang w:val="en-US"/>
                </w:rPr>
                <w:t>sakhalin</w:t>
              </w:r>
              <w:proofErr w:type="spellEnd"/>
              <w:r w:rsidR="00AE65B4" w:rsidRPr="00386A78">
                <w:rPr>
                  <w:rStyle w:val="af5"/>
                  <w:sz w:val="28"/>
                  <w:szCs w:val="28"/>
                </w:rPr>
                <w:t>.</w:t>
              </w:r>
              <w:proofErr w:type="spellStart"/>
              <w:r w:rsidR="00AE65B4" w:rsidRPr="00386A78">
                <w:rPr>
                  <w:rStyle w:val="af5"/>
                  <w:sz w:val="28"/>
                  <w:szCs w:val="28"/>
                  <w:lang w:val="en-US"/>
                </w:rPr>
                <w:t>ru</w:t>
              </w:r>
              <w:proofErr w:type="spellEnd"/>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6E30ED">
              <w:rPr>
                <w:b/>
                <w:bCs/>
                <w:sz w:val="28"/>
                <w:szCs w:val="28"/>
              </w:rPr>
              <w:t>2</w:t>
            </w:r>
            <w:r w:rsidR="00A8780F">
              <w:rPr>
                <w:b/>
                <w:bCs/>
                <w:sz w:val="28"/>
                <w:szCs w:val="28"/>
              </w:rPr>
              <w:t>7</w:t>
            </w:r>
            <w:r w:rsidR="00AE65B4" w:rsidRPr="005B3E5A">
              <w:rPr>
                <w:b/>
                <w:bCs/>
                <w:sz w:val="28"/>
                <w:szCs w:val="28"/>
              </w:rPr>
              <w:t xml:space="preserve">» </w:t>
            </w:r>
            <w:r w:rsidR="00937B46">
              <w:rPr>
                <w:b/>
                <w:bCs/>
                <w:sz w:val="28"/>
                <w:szCs w:val="28"/>
              </w:rPr>
              <w:t xml:space="preserve">марта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5862D218"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6E30ED">
              <w:rPr>
                <w:b/>
                <w:bCs/>
                <w:sz w:val="28"/>
                <w:szCs w:val="28"/>
              </w:rPr>
              <w:t>7</w:t>
            </w:r>
            <w:r w:rsidR="00937B46">
              <w:rPr>
                <w:b/>
                <w:bCs/>
                <w:sz w:val="28"/>
                <w:szCs w:val="28"/>
              </w:rPr>
              <w:t>6</w:t>
            </w:r>
            <w:r w:rsidR="00FE5FA9">
              <w:rPr>
                <w:b/>
                <w:bCs/>
                <w:sz w:val="28"/>
                <w:szCs w:val="28"/>
              </w:rPr>
              <w:t>/</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6C630C31"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Pr>
                <w:b/>
                <w:bCs/>
                <w:sz w:val="28"/>
                <w:szCs w:val="28"/>
              </w:rPr>
              <w:t>1</w:t>
            </w:r>
            <w:r w:rsidR="006E30ED">
              <w:rPr>
                <w:b/>
                <w:bCs/>
                <w:sz w:val="28"/>
                <w:szCs w:val="28"/>
              </w:rPr>
              <w:t>7</w:t>
            </w:r>
            <w:r w:rsidR="00937B46">
              <w:rPr>
                <w:b/>
                <w:bCs/>
                <w:sz w:val="28"/>
                <w:szCs w:val="28"/>
              </w:rPr>
              <w:t>6</w:t>
            </w:r>
            <w:r w:rsidRPr="001676A8">
              <w:rPr>
                <w:b/>
                <w:bCs/>
                <w:sz w:val="28"/>
                <w:szCs w:val="28"/>
              </w:rPr>
              <w:t>/АЭ-</w:t>
            </w:r>
            <w:r w:rsidRPr="00CF1C2D">
              <w:rPr>
                <w:b/>
                <w:bCs/>
                <w:sz w:val="28"/>
                <w:szCs w:val="28"/>
              </w:rPr>
              <w:t>ПКС/Т</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08FCAD56" w14:textId="77777777" w:rsidR="00937B46" w:rsidRPr="00937B46" w:rsidRDefault="00937B46" w:rsidP="00937B46">
            <w:pPr>
              <w:jc w:val="both"/>
              <w:rPr>
                <w:bCs/>
                <w:color w:val="000000"/>
                <w:sz w:val="28"/>
                <w:szCs w:val="28"/>
              </w:rPr>
            </w:pPr>
            <w:r w:rsidRPr="00937B46">
              <w:rPr>
                <w:bCs/>
                <w:color w:val="000000"/>
                <w:sz w:val="28"/>
                <w:szCs w:val="28"/>
              </w:rPr>
              <w:t xml:space="preserve">Размер обеспечения исполнения договора составляет </w:t>
            </w:r>
            <w:r w:rsidRPr="00937B46">
              <w:rPr>
                <w:b/>
                <w:color w:val="000000"/>
                <w:sz w:val="28"/>
                <w:szCs w:val="28"/>
              </w:rPr>
              <w:t>134 520 руб</w:t>
            </w:r>
            <w:r w:rsidRPr="00937B46">
              <w:rPr>
                <w:bCs/>
                <w:color w:val="000000"/>
                <w:sz w:val="28"/>
                <w:szCs w:val="28"/>
              </w:rPr>
              <w:t xml:space="preserve">. (сто тридцать четыре тысячи пятьсот двадцать рублей 00 копеек).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lastRenderedPageBreak/>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71B31C77" w14:textId="77777777" w:rsidR="008C2210" w:rsidRDefault="008C2210" w:rsidP="0093750E">
            <w:pPr>
              <w:jc w:val="both"/>
              <w:rPr>
                <w:b/>
                <w:bCs/>
                <w:sz w:val="28"/>
                <w:szCs w:val="28"/>
              </w:rPr>
            </w:pPr>
            <w:r w:rsidRPr="008C2210">
              <w:rPr>
                <w:b/>
                <w:bCs/>
                <w:sz w:val="28"/>
                <w:szCs w:val="28"/>
              </w:rPr>
              <w:t>Оказание услуг по ремонту и обслуживанию кондиционеров в пассажирских вагонах</w:t>
            </w:r>
          </w:p>
          <w:p w14:paraId="0C7910A5" w14:textId="0CC94A2D" w:rsidR="006D7D15" w:rsidRPr="00DE6E5A" w:rsidRDefault="00EC4CA0" w:rsidP="0093750E">
            <w:pPr>
              <w:jc w:val="both"/>
              <w:rPr>
                <w:bCs/>
                <w:sz w:val="28"/>
                <w:szCs w:val="28"/>
              </w:rPr>
            </w:pPr>
            <w:r>
              <w:rPr>
                <w:bCs/>
                <w:sz w:val="28"/>
                <w:szCs w:val="28"/>
              </w:rPr>
              <w:t>О</w:t>
            </w:r>
            <w:r w:rsidR="00C63751">
              <w:rPr>
                <w:bCs/>
                <w:sz w:val="28"/>
                <w:szCs w:val="28"/>
              </w:rPr>
              <w:t xml:space="preserve">бъем </w:t>
            </w:r>
            <w:r w:rsidR="008C2210">
              <w:rPr>
                <w:bCs/>
                <w:sz w:val="28"/>
                <w:szCs w:val="28"/>
              </w:rPr>
              <w:t xml:space="preserve">оказываемых услуг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710002">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629" w:type="dxa"/>
          </w:tcPr>
          <w:p w14:paraId="785509DC" w14:textId="77777777" w:rsidR="008C2210" w:rsidRDefault="008C2210" w:rsidP="0093750E">
            <w:pPr>
              <w:jc w:val="both"/>
              <w:rPr>
                <w:sz w:val="28"/>
                <w:szCs w:val="28"/>
              </w:rPr>
            </w:pPr>
            <w:r w:rsidRPr="008C2210">
              <w:rPr>
                <w:sz w:val="28"/>
                <w:szCs w:val="28"/>
              </w:rPr>
              <w:t>Не установлено.</w:t>
            </w:r>
          </w:p>
          <w:p w14:paraId="2F338E46" w14:textId="184B1529" w:rsidR="008C2210" w:rsidRPr="008C2210" w:rsidRDefault="008C2210" w:rsidP="0093750E">
            <w:pPr>
              <w:jc w:val="both"/>
              <w:rPr>
                <w:sz w:val="28"/>
                <w:szCs w:val="28"/>
              </w:rPr>
            </w:pPr>
            <w:r w:rsidRPr="008C2210">
              <w:rPr>
                <w:sz w:val="28"/>
                <w:szCs w:val="28"/>
              </w:rPr>
              <w:t>Осуществляется закупка услуг</w:t>
            </w:r>
            <w:r>
              <w:rPr>
                <w:sz w:val="28"/>
                <w:szCs w:val="28"/>
              </w:rPr>
              <w:t>,</w:t>
            </w:r>
            <w:r w:rsidRPr="008C2210">
              <w:rPr>
                <w:sz w:val="28"/>
                <w:szCs w:val="28"/>
              </w:rPr>
              <w:t xml:space="preserve"> не указанных в приложении № 1 и приложении № 2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8"/>
                <w:szCs w:val="28"/>
              </w:rPr>
              <w:t>.</w:t>
            </w:r>
          </w:p>
        </w:tc>
      </w:tr>
      <w:tr w:rsidR="006D7D15" w:rsidRPr="00DE6E5A" w14:paraId="5554165D" w14:textId="77777777" w:rsidTr="00710002">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584CB5C1" w:rsidR="006D7D15" w:rsidRPr="00DE6E5A" w:rsidRDefault="00542984" w:rsidP="00542984">
            <w:pPr>
              <w:jc w:val="center"/>
              <w:rPr>
                <w:bCs/>
                <w:sz w:val="28"/>
                <w:szCs w:val="28"/>
              </w:rPr>
            </w:pPr>
            <w:r>
              <w:rPr>
                <w:bCs/>
                <w:sz w:val="28"/>
                <w:szCs w:val="28"/>
              </w:rPr>
              <w:t xml:space="preserve">Место </w:t>
            </w:r>
            <w:r w:rsidR="008C2210">
              <w:rPr>
                <w:bCs/>
                <w:sz w:val="28"/>
                <w:szCs w:val="28"/>
              </w:rPr>
              <w:t xml:space="preserve">оказания услуг </w:t>
            </w:r>
          </w:p>
        </w:tc>
        <w:tc>
          <w:tcPr>
            <w:tcW w:w="6629" w:type="dxa"/>
          </w:tcPr>
          <w:p w14:paraId="11DFE4AA" w14:textId="512FF88D" w:rsidR="006D7D15" w:rsidRPr="00DE6E5A" w:rsidRDefault="00C06B87" w:rsidP="0093750E">
            <w:pPr>
              <w:jc w:val="both"/>
              <w:rPr>
                <w:b/>
                <w:bCs/>
                <w:sz w:val="28"/>
                <w:szCs w:val="28"/>
              </w:rPr>
            </w:pPr>
            <w:r w:rsidRPr="009A14CD">
              <w:rPr>
                <w:bCs/>
                <w:sz w:val="28"/>
                <w:szCs w:val="28"/>
              </w:rPr>
              <w:t xml:space="preserve">Место </w:t>
            </w:r>
            <w:r w:rsidR="008C2210">
              <w:rPr>
                <w:bCs/>
                <w:sz w:val="28"/>
                <w:szCs w:val="28"/>
              </w:rPr>
              <w:t xml:space="preserve">оказания услуг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13E54A12" w:rsidR="00B02027" w:rsidRDefault="006F05A3">
            <w:pPr>
              <w:jc w:val="both"/>
              <w:rPr>
                <w:bCs/>
                <w:sz w:val="28"/>
                <w:szCs w:val="28"/>
              </w:rPr>
            </w:pPr>
            <w:r>
              <w:rPr>
                <w:bCs/>
                <w:sz w:val="28"/>
                <w:szCs w:val="28"/>
              </w:rPr>
              <w:t xml:space="preserve">- </w:t>
            </w:r>
            <w:r w:rsidR="008C2210" w:rsidRPr="008C2210">
              <w:rPr>
                <w:b/>
                <w:bCs/>
                <w:sz w:val="28"/>
                <w:szCs w:val="28"/>
              </w:rPr>
              <w:t xml:space="preserve">3 228 480,00 </w:t>
            </w:r>
            <w:r w:rsidR="00B02027">
              <w:rPr>
                <w:bCs/>
                <w:sz w:val="28"/>
                <w:szCs w:val="28"/>
              </w:rPr>
              <w:t>(</w:t>
            </w:r>
            <w:r w:rsidR="008C2210">
              <w:rPr>
                <w:bCs/>
                <w:sz w:val="28"/>
                <w:szCs w:val="28"/>
              </w:rPr>
              <w:t xml:space="preserve">три миллиона двести двадцать восемь тысяч четыреста восемьдесят </w:t>
            </w:r>
            <w:r w:rsidR="00C06B87">
              <w:rPr>
                <w:bCs/>
                <w:sz w:val="28"/>
                <w:szCs w:val="28"/>
              </w:rPr>
              <w:t>рубл</w:t>
            </w:r>
            <w:r w:rsidR="007552C7">
              <w:rPr>
                <w:bCs/>
                <w:sz w:val="28"/>
                <w:szCs w:val="28"/>
              </w:rPr>
              <w:t>ей</w:t>
            </w:r>
            <w:r w:rsidR="00C06B87">
              <w:rPr>
                <w:bCs/>
                <w:sz w:val="28"/>
                <w:szCs w:val="28"/>
              </w:rPr>
              <w:t xml:space="preserve"> </w:t>
            </w:r>
            <w:r w:rsidR="00E54472">
              <w:rPr>
                <w:bCs/>
                <w:sz w:val="28"/>
                <w:szCs w:val="28"/>
              </w:rPr>
              <w:t>00</w:t>
            </w:r>
            <w:r w:rsidR="00542984">
              <w:rPr>
                <w:bCs/>
                <w:sz w:val="28"/>
                <w:szCs w:val="28"/>
              </w:rPr>
              <w:t xml:space="preserve"> копе</w:t>
            </w:r>
            <w:r w:rsidR="00E54472">
              <w:rPr>
                <w:bCs/>
                <w:sz w:val="28"/>
                <w:szCs w:val="28"/>
              </w:rPr>
              <w:t>е</w:t>
            </w:r>
            <w:r w:rsidR="006C539E">
              <w:rPr>
                <w:bCs/>
                <w:sz w:val="28"/>
                <w:szCs w:val="28"/>
              </w:rPr>
              <w:t>к</w:t>
            </w:r>
            <w:r w:rsidR="00B02027">
              <w:rPr>
                <w:bCs/>
                <w:sz w:val="28"/>
                <w:szCs w:val="28"/>
              </w:rPr>
              <w:t>)</w:t>
            </w:r>
            <w:r w:rsidR="006C66CA">
              <w:rPr>
                <w:bCs/>
                <w:sz w:val="28"/>
                <w:szCs w:val="28"/>
              </w:rPr>
              <w:t>,</w:t>
            </w:r>
            <w:r w:rsidR="00B02027">
              <w:rPr>
                <w:bCs/>
                <w:sz w:val="28"/>
                <w:szCs w:val="28"/>
              </w:rPr>
              <w:t xml:space="preserve"> с учетом НДС;</w:t>
            </w:r>
          </w:p>
          <w:p w14:paraId="607C9CE8" w14:textId="58A1C690" w:rsidR="006C66CA" w:rsidRDefault="006F05A3">
            <w:pPr>
              <w:jc w:val="both"/>
              <w:rPr>
                <w:bCs/>
                <w:i/>
                <w:sz w:val="28"/>
                <w:szCs w:val="28"/>
              </w:rPr>
            </w:pPr>
            <w:r>
              <w:rPr>
                <w:b/>
                <w:bCs/>
                <w:sz w:val="28"/>
                <w:szCs w:val="28"/>
              </w:rPr>
              <w:t xml:space="preserve">- </w:t>
            </w:r>
            <w:r w:rsidR="00A8780F" w:rsidRPr="00A8780F">
              <w:rPr>
                <w:b/>
                <w:bCs/>
                <w:sz w:val="28"/>
                <w:szCs w:val="28"/>
              </w:rPr>
              <w:t xml:space="preserve">2 690 400,00 </w:t>
            </w:r>
            <w:r w:rsidR="00C63751" w:rsidRPr="00C63751">
              <w:rPr>
                <w:bCs/>
                <w:sz w:val="28"/>
                <w:szCs w:val="28"/>
              </w:rPr>
              <w:t>(</w:t>
            </w:r>
            <w:r w:rsidR="00E54472">
              <w:rPr>
                <w:bCs/>
                <w:sz w:val="28"/>
                <w:szCs w:val="28"/>
              </w:rPr>
              <w:t>д</w:t>
            </w:r>
            <w:r w:rsidR="006E30ED">
              <w:rPr>
                <w:bCs/>
                <w:sz w:val="28"/>
                <w:szCs w:val="28"/>
              </w:rPr>
              <w:t xml:space="preserve">ва </w:t>
            </w:r>
            <w:r w:rsidR="00A8780F">
              <w:rPr>
                <w:bCs/>
                <w:sz w:val="28"/>
                <w:szCs w:val="28"/>
              </w:rPr>
              <w:t xml:space="preserve">миллиона шестьсот девяносто тысяч четыреста </w:t>
            </w:r>
            <w:r w:rsidR="00C63751" w:rsidRPr="00C63751">
              <w:rPr>
                <w:bCs/>
                <w:sz w:val="28"/>
                <w:szCs w:val="28"/>
              </w:rPr>
              <w:t>рубл</w:t>
            </w:r>
            <w:r w:rsidR="00E54472">
              <w:rPr>
                <w:bCs/>
                <w:sz w:val="28"/>
                <w:szCs w:val="28"/>
              </w:rPr>
              <w:t>ей</w:t>
            </w:r>
            <w:r w:rsidR="00C63751" w:rsidRPr="00C63751">
              <w:rPr>
                <w:bCs/>
                <w:sz w:val="28"/>
                <w:szCs w:val="28"/>
              </w:rPr>
              <w:t xml:space="preserve"> </w:t>
            </w:r>
            <w:r w:rsidR="00E54472">
              <w:rPr>
                <w:bCs/>
                <w:sz w:val="28"/>
                <w:szCs w:val="28"/>
              </w:rPr>
              <w:t>00</w:t>
            </w:r>
            <w:r w:rsidR="00C63751" w:rsidRPr="00C63751">
              <w:rPr>
                <w:bCs/>
                <w:sz w:val="28"/>
                <w:szCs w:val="28"/>
              </w:rPr>
              <w:t xml:space="preserve"> копеек</w:t>
            </w:r>
            <w:r w:rsidR="006C66CA" w:rsidRPr="006C66CA">
              <w:rPr>
                <w:bCs/>
                <w:sz w:val="28"/>
                <w:szCs w:val="28"/>
              </w:rPr>
              <w:t>), без учета НДС.</w:t>
            </w:r>
          </w:p>
          <w:p w14:paraId="279C6672" w14:textId="25BB33FC" w:rsidR="00542984" w:rsidRDefault="006E30ED" w:rsidP="00542984">
            <w:pPr>
              <w:jc w:val="both"/>
              <w:rPr>
                <w:bCs/>
                <w:sz w:val="28"/>
                <w:szCs w:val="28"/>
              </w:rPr>
            </w:pPr>
            <w:r w:rsidRPr="006E30ED">
              <w:rPr>
                <w:sz w:val="28"/>
                <w:szCs w:val="28"/>
                <w:lang w:eastAsia="en-US"/>
              </w:rPr>
              <w:t xml:space="preserve">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w:t>
            </w:r>
            <w:r w:rsidRPr="006E30ED">
              <w:rPr>
                <w:sz w:val="28"/>
                <w:szCs w:val="28"/>
                <w:lang w:eastAsia="en-US"/>
              </w:rPr>
              <w:lastRenderedPageBreak/>
              <w:t xml:space="preserve">включает в себя </w:t>
            </w:r>
            <w:r w:rsidR="00A8780F" w:rsidRPr="00A8780F">
              <w:rPr>
                <w:sz w:val="28"/>
                <w:szCs w:val="28"/>
                <w:lang w:eastAsia="en-US"/>
              </w:rPr>
              <w:t>расходы исполнителя по оказанию услуг, в том числе расходы на оплату труда работников, на расходные материалы, на эксплуатацию автотранспортного средства и механизмов, а также все виды налогов исполнителя</w:t>
            </w:r>
            <w:r w:rsidR="007552C7" w:rsidRPr="007552C7">
              <w:rPr>
                <w:sz w:val="28"/>
                <w:szCs w:val="28"/>
                <w:lang w:eastAsia="en-US"/>
              </w:rPr>
              <w:t>.</w:t>
            </w:r>
          </w:p>
          <w:p w14:paraId="3612E80D" w14:textId="1B001E31" w:rsidR="006D7D15" w:rsidRPr="00DE6E5A" w:rsidRDefault="009337EC" w:rsidP="0093750E">
            <w:pPr>
              <w:jc w:val="both"/>
              <w:rPr>
                <w:bCs/>
                <w:i/>
                <w:sz w:val="28"/>
                <w:szCs w:val="28"/>
              </w:rPr>
            </w:pPr>
            <w:r w:rsidRPr="00DE6E5A">
              <w:rPr>
                <w:bCs/>
                <w:sz w:val="28"/>
                <w:szCs w:val="28"/>
              </w:rPr>
              <w:t xml:space="preserve">Сведения о </w:t>
            </w:r>
            <w:r>
              <w:rPr>
                <w:bCs/>
                <w:sz w:val="28"/>
                <w:szCs w:val="28"/>
              </w:rPr>
              <w:t>ценах за единицу</w:t>
            </w:r>
            <w:r w:rsidRPr="00DE6E5A">
              <w:rPr>
                <w:bCs/>
                <w:sz w:val="28"/>
                <w:szCs w:val="28"/>
              </w:rPr>
              <w:t xml:space="preserve"> </w:t>
            </w:r>
            <w:r w:rsidR="00A8780F">
              <w:rPr>
                <w:bCs/>
                <w:sz w:val="28"/>
                <w:szCs w:val="28"/>
              </w:rPr>
              <w:t>услуги</w:t>
            </w:r>
            <w:r w:rsidR="006E30ED">
              <w:rPr>
                <w:bCs/>
                <w:sz w:val="28"/>
                <w:szCs w:val="28"/>
              </w:rPr>
              <w:t xml:space="preserve"> </w:t>
            </w:r>
            <w:r w:rsidRPr="00DE6E5A">
              <w:rPr>
                <w:bCs/>
                <w:sz w:val="28"/>
                <w:szCs w:val="28"/>
              </w:rPr>
              <w:t>установлены в Техническом задании, являющемся приложением к документации о закупке</w:t>
            </w:r>
            <w:r w:rsidR="006C66CA">
              <w:rPr>
                <w:bCs/>
                <w:i/>
                <w:sz w:val="28"/>
                <w:szCs w:val="28"/>
              </w:rPr>
              <w:t>.</w:t>
            </w:r>
          </w:p>
        </w:tc>
      </w:tr>
      <w:tr w:rsidR="006D7D15" w:rsidRPr="00DE6E5A" w14:paraId="5FDB2347" w14:textId="77777777" w:rsidTr="00710002">
        <w:tc>
          <w:tcPr>
            <w:tcW w:w="846" w:type="dxa"/>
          </w:tcPr>
          <w:p w14:paraId="205E52DB" w14:textId="3D48120F" w:rsidR="006D7D15" w:rsidRPr="00DE6E5A" w:rsidRDefault="004752B5">
            <w:pPr>
              <w:jc w:val="center"/>
              <w:rPr>
                <w:bCs/>
                <w:sz w:val="28"/>
                <w:szCs w:val="28"/>
              </w:rPr>
            </w:pPr>
            <w:r w:rsidRPr="00DE6E5A">
              <w:rPr>
                <w:bCs/>
                <w:sz w:val="28"/>
                <w:szCs w:val="28"/>
              </w:rPr>
              <w:lastRenderedPageBreak/>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29D961D3"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6E30ED">
              <w:rPr>
                <w:b/>
                <w:bCs/>
                <w:sz w:val="28"/>
                <w:szCs w:val="28"/>
              </w:rPr>
              <w:t>2</w:t>
            </w:r>
            <w:r w:rsidR="00A8780F">
              <w:rPr>
                <w:b/>
                <w:bCs/>
                <w:sz w:val="28"/>
                <w:szCs w:val="28"/>
              </w:rPr>
              <w:t>7</w:t>
            </w:r>
            <w:r w:rsidR="00372E52" w:rsidRPr="00372E52">
              <w:rPr>
                <w:b/>
                <w:bCs/>
                <w:sz w:val="28"/>
                <w:szCs w:val="28"/>
              </w:rPr>
              <w:t>»</w:t>
            </w:r>
            <w:r w:rsidR="00A8780F">
              <w:rPr>
                <w:b/>
                <w:bCs/>
                <w:sz w:val="28"/>
                <w:szCs w:val="28"/>
              </w:rPr>
              <w:t xml:space="preserve"> марта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6380BEFF"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A8780F">
              <w:rPr>
                <w:b/>
                <w:bCs/>
                <w:sz w:val="28"/>
                <w:szCs w:val="28"/>
              </w:rPr>
              <w:t>10</w:t>
            </w:r>
            <w:r w:rsidR="004469A8" w:rsidRPr="009A14CD">
              <w:rPr>
                <w:b/>
                <w:bCs/>
                <w:sz w:val="28"/>
                <w:szCs w:val="28"/>
              </w:rPr>
              <w:t>»</w:t>
            </w:r>
            <w:r w:rsidR="006E30ED">
              <w:rPr>
                <w:b/>
                <w:bCs/>
                <w:sz w:val="28"/>
                <w:szCs w:val="28"/>
              </w:rPr>
              <w:t xml:space="preserve"> </w:t>
            </w:r>
            <w:r w:rsidR="00A8780F">
              <w:rPr>
                <w:b/>
                <w:bCs/>
                <w:sz w:val="28"/>
                <w:szCs w:val="28"/>
              </w:rPr>
              <w:t xml:space="preserve">апреля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4E43B44E"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6E30ED">
              <w:rPr>
                <w:b/>
                <w:bCs/>
                <w:sz w:val="28"/>
                <w:szCs w:val="28"/>
              </w:rPr>
              <w:t>7</w:t>
            </w:r>
            <w:r w:rsidR="00A8780F">
              <w:rPr>
                <w:b/>
                <w:bCs/>
                <w:sz w:val="28"/>
                <w:szCs w:val="28"/>
              </w:rPr>
              <w:t>6</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0BF16089"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A8780F">
              <w:rPr>
                <w:b/>
                <w:bCs/>
                <w:sz w:val="28"/>
                <w:szCs w:val="28"/>
              </w:rPr>
              <w:t>11</w:t>
            </w:r>
            <w:r w:rsidR="00C06C5D" w:rsidRPr="00C06C5D">
              <w:rPr>
                <w:b/>
                <w:bCs/>
                <w:sz w:val="28"/>
                <w:szCs w:val="28"/>
              </w:rPr>
              <w:t>»</w:t>
            </w:r>
            <w:r w:rsidR="00A8780F">
              <w:rPr>
                <w:b/>
                <w:bCs/>
                <w:sz w:val="28"/>
                <w:szCs w:val="28"/>
              </w:rPr>
              <w:t xml:space="preserve"> апреля</w:t>
            </w:r>
            <w:r w:rsidR="006E30ED">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29008428"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A8780F">
              <w:rPr>
                <w:b/>
                <w:bCs/>
                <w:sz w:val="28"/>
                <w:szCs w:val="28"/>
              </w:rPr>
              <w:t>15</w:t>
            </w:r>
            <w:r w:rsidR="00C06C5D" w:rsidRPr="009A14CD">
              <w:rPr>
                <w:b/>
                <w:bCs/>
                <w:sz w:val="28"/>
                <w:szCs w:val="28"/>
              </w:rPr>
              <w:t>»</w:t>
            </w:r>
            <w:r w:rsidR="00C06C5D">
              <w:rPr>
                <w:b/>
                <w:bCs/>
                <w:sz w:val="28"/>
                <w:szCs w:val="28"/>
              </w:rPr>
              <w:t xml:space="preserve"> </w:t>
            </w:r>
            <w:r w:rsidR="006E30ED">
              <w:rPr>
                <w:b/>
                <w:bCs/>
                <w:sz w:val="28"/>
                <w:szCs w:val="28"/>
              </w:rPr>
              <w:t xml:space="preserve">февраля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07954DAA"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A8780F">
              <w:rPr>
                <w:b/>
                <w:bCs/>
                <w:sz w:val="28"/>
                <w:szCs w:val="28"/>
              </w:rPr>
              <w:t>17</w:t>
            </w:r>
            <w:r w:rsidR="00C06C5D" w:rsidRPr="007446C6">
              <w:rPr>
                <w:b/>
                <w:bCs/>
                <w:sz w:val="28"/>
                <w:szCs w:val="28"/>
              </w:rPr>
              <w:t>»</w:t>
            </w:r>
            <w:r w:rsidR="006C539E">
              <w:rPr>
                <w:b/>
                <w:bCs/>
                <w:sz w:val="28"/>
                <w:szCs w:val="28"/>
              </w:rPr>
              <w:t xml:space="preserve"> </w:t>
            </w:r>
            <w:r w:rsidR="00A8780F">
              <w:rPr>
                <w:b/>
                <w:bCs/>
                <w:sz w:val="28"/>
                <w:szCs w:val="28"/>
              </w:rPr>
              <w:t>апреля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07BA039F"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A8780F">
              <w:rPr>
                <w:b/>
                <w:bCs/>
                <w:sz w:val="28"/>
                <w:szCs w:val="28"/>
              </w:rPr>
              <w:t>17</w:t>
            </w:r>
            <w:r w:rsidR="00C06C5D" w:rsidRPr="001F37C5">
              <w:rPr>
                <w:b/>
                <w:bCs/>
                <w:sz w:val="28"/>
                <w:szCs w:val="28"/>
              </w:rPr>
              <w:t xml:space="preserve">» </w:t>
            </w:r>
            <w:r w:rsidR="00A8780F">
              <w:rPr>
                <w:b/>
                <w:bCs/>
                <w:sz w:val="28"/>
                <w:szCs w:val="28"/>
              </w:rPr>
              <w:t>апрел</w:t>
            </w:r>
            <w:r w:rsidR="006E30ED">
              <w:rPr>
                <w:b/>
                <w:bCs/>
                <w:sz w:val="28"/>
                <w:szCs w:val="28"/>
              </w:rPr>
              <w:t xml:space="preserve">я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E9296" w14:textId="77777777" w:rsidR="00BA03F8" w:rsidRDefault="00BA03F8">
      <w:r>
        <w:separator/>
      </w:r>
    </w:p>
  </w:endnote>
  <w:endnote w:type="continuationSeparator" w:id="0">
    <w:p w14:paraId="6A322CAE" w14:textId="77777777" w:rsidR="00BA03F8" w:rsidRDefault="00BA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CB476" w14:textId="77777777" w:rsidR="00BA03F8" w:rsidRDefault="00BA03F8">
      <w:r>
        <w:separator/>
      </w:r>
    </w:p>
  </w:footnote>
  <w:footnote w:type="continuationSeparator" w:id="0">
    <w:p w14:paraId="101D4F2B" w14:textId="77777777" w:rsidR="00BA03F8" w:rsidRDefault="00BA0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196C54">
      <w:rPr>
        <w:rStyle w:val="a9"/>
        <w:noProof/>
      </w:rPr>
      <w:t>2</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96C54"/>
    <w:rsid w:val="001A061F"/>
    <w:rsid w:val="001B0433"/>
    <w:rsid w:val="001C1A0F"/>
    <w:rsid w:val="001D093C"/>
    <w:rsid w:val="001D28D8"/>
    <w:rsid w:val="001E6DAB"/>
    <w:rsid w:val="001F1F05"/>
    <w:rsid w:val="001F37C5"/>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A22FE"/>
    <w:rsid w:val="005B2EBD"/>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36CDB"/>
    <w:rsid w:val="00B6030F"/>
    <w:rsid w:val="00B65606"/>
    <w:rsid w:val="00B81E46"/>
    <w:rsid w:val="00B870A7"/>
    <w:rsid w:val="00BA03F8"/>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88701-E8B7-45A3-8296-49EEAC1A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834</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IvanovaKS</cp:lastModifiedBy>
  <cp:revision>3</cp:revision>
  <cp:lastPrinted>2023-12-07T00:27:00Z</cp:lastPrinted>
  <dcterms:created xsi:type="dcterms:W3CDTF">2025-03-27T03:55:00Z</dcterms:created>
  <dcterms:modified xsi:type="dcterms:W3CDTF">2025-03-27T04:34:00Z</dcterms:modified>
</cp:coreProperties>
</file>