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FE" w:rsidRDefault="00056FFE" w:rsidP="00056FFE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:rsidR="00056FFE" w:rsidRPr="0015570A" w:rsidRDefault="00056FFE" w:rsidP="00056FFE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193</w:t>
      </w:r>
      <w:r w:rsidRPr="0015570A">
        <w:rPr>
          <w:b/>
          <w:bCs/>
          <w:sz w:val="28"/>
          <w:szCs w:val="28"/>
        </w:rPr>
        <w:t>/ОАЭ-ПКС/Т</w:t>
      </w:r>
    </w:p>
    <w:p w:rsidR="00056FFE" w:rsidRPr="00B13FEA" w:rsidRDefault="00056FFE" w:rsidP="00056FFE">
      <w:pPr>
        <w:jc w:val="center"/>
        <w:rPr>
          <w:b/>
          <w:bCs/>
          <w:color w:val="000000"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B13FEA">
        <w:rPr>
          <w:b/>
          <w:bCs/>
          <w:sz w:val="28"/>
          <w:szCs w:val="28"/>
        </w:rPr>
        <w:t>лакокрасочной продукции</w:t>
      </w:r>
    </w:p>
    <w:p w:rsidR="00056FFE" w:rsidRDefault="00056FFE" w:rsidP="00056FFE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056FFE" w:rsidRPr="00DE6E5A" w:rsidRDefault="00056FFE" w:rsidP="00D52D8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056FFE" w:rsidRPr="00DE6E5A" w:rsidRDefault="00056FFE" w:rsidP="00D52D88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056FFE" w:rsidRPr="00DE6E5A" w:rsidRDefault="00056FFE" w:rsidP="00D52D88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fldChar w:fldCharType="begin"/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 xml:space="preserve"> 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instrText>HYPERLINK</w:instrText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 xml:space="preserve"> "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instrText>http</w:instrText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>://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instrText>www</w:instrText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>.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instrText>pk</w:instrText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>-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instrText>sakhalin</w:instrText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>.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instrText>ru</w:instrText>
            </w:r>
            <w:r w:rsidR="0052381B" w:rsidRPr="0015008A">
              <w:rPr>
                <w:rStyle w:val="a8"/>
                <w:bCs/>
                <w:sz w:val="28"/>
                <w:szCs w:val="28"/>
              </w:rPr>
              <w:instrText xml:space="preserve">" </w:instrTex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fldChar w:fldCharType="separate"/>
            </w:r>
            <w:r w:rsidRPr="00386A78">
              <w:rPr>
                <w:rStyle w:val="a8"/>
                <w:bCs/>
                <w:sz w:val="28"/>
                <w:szCs w:val="28"/>
                <w:lang w:val="en-US"/>
              </w:rPr>
              <w:t>www</w:t>
            </w:r>
            <w:r w:rsidRPr="00386A78">
              <w:rPr>
                <w:rStyle w:val="a8"/>
                <w:bCs/>
                <w:sz w:val="28"/>
                <w:szCs w:val="28"/>
              </w:rPr>
              <w:t>.</w:t>
            </w:r>
            <w:r w:rsidRPr="00386A78">
              <w:rPr>
                <w:rStyle w:val="a8"/>
                <w:bCs/>
                <w:sz w:val="28"/>
                <w:szCs w:val="28"/>
                <w:lang w:val="en-US"/>
              </w:rPr>
              <w:t>pk</w:t>
            </w:r>
            <w:r w:rsidRPr="00386A78">
              <w:rPr>
                <w:rStyle w:val="a8"/>
                <w:bCs/>
                <w:sz w:val="28"/>
                <w:szCs w:val="28"/>
              </w:rPr>
              <w:t>-</w:t>
            </w:r>
            <w:r w:rsidRPr="00386A78">
              <w:rPr>
                <w:rStyle w:val="a8"/>
                <w:bCs/>
                <w:sz w:val="28"/>
                <w:szCs w:val="28"/>
                <w:lang w:val="en-US"/>
              </w:rPr>
              <w:t>sakhalin</w:t>
            </w:r>
            <w:r w:rsidRPr="00386A78">
              <w:rPr>
                <w:rStyle w:val="a8"/>
                <w:bCs/>
                <w:sz w:val="28"/>
                <w:szCs w:val="28"/>
              </w:rPr>
              <w:t>.</w:t>
            </w:r>
            <w:r w:rsidRPr="00386A78">
              <w:rPr>
                <w:rStyle w:val="a8"/>
                <w:bCs/>
                <w:sz w:val="28"/>
                <w:szCs w:val="28"/>
                <w:lang w:val="en-US"/>
              </w:rPr>
              <w:t>ru</w:t>
            </w:r>
            <w:r w:rsidR="0052381B">
              <w:rPr>
                <w:rStyle w:val="a8"/>
                <w:bCs/>
                <w:sz w:val="28"/>
                <w:szCs w:val="28"/>
                <w:lang w:val="en-US"/>
              </w:rPr>
              <w:fldChar w:fldCharType="end"/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56FFE" w:rsidRPr="00DE6E5A" w:rsidRDefault="00056FFE" w:rsidP="00D52D88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193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056FFE" w:rsidRPr="00DE6E5A" w:rsidRDefault="00056FFE" w:rsidP="00D52D88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193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056FFE" w:rsidRPr="00DE6E5A" w:rsidRDefault="00056FFE" w:rsidP="00D52D88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6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056FFE" w:rsidRPr="00CF1C2D" w:rsidRDefault="00056FFE" w:rsidP="00D52D88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056FFE" w:rsidRPr="00CF1C2D" w:rsidRDefault="00056FFE" w:rsidP="00D52D88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056FFE" w:rsidRPr="00CF1C2D" w:rsidRDefault="00056FFE" w:rsidP="00D52D88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056FFE" w:rsidRPr="00853364" w:rsidRDefault="00056FFE" w:rsidP="00D52D88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7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056FFE" w:rsidRPr="00CF1C2D" w:rsidRDefault="00056FFE" w:rsidP="00D52D88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056FFE" w:rsidRPr="00D63868" w:rsidRDefault="00056FFE" w:rsidP="00D52D88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056FFE" w:rsidRDefault="00056FFE" w:rsidP="00D52D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8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056FFE" w:rsidRPr="00FC6E09" w:rsidRDefault="00056FFE" w:rsidP="00D52D88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056FFE" w:rsidRPr="00DE6E5A" w:rsidRDefault="00056FFE" w:rsidP="00D52D88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056FFE" w:rsidRPr="00853364" w:rsidRDefault="00056FFE" w:rsidP="00D52D88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056FF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056FFE" w:rsidRPr="00DE6E5A" w:rsidRDefault="00056FFE" w:rsidP="00056FF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056FFE" w:rsidRPr="00DE6E5A" w:rsidRDefault="00056FFE" w:rsidP="00056FF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056FFE" w:rsidRDefault="00056FFE" w:rsidP="00056F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056FFE" w:rsidRPr="0018221F" w:rsidRDefault="00056FFE" w:rsidP="00056FFE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</w:t>
            </w:r>
            <w:r>
              <w:rPr>
                <w:bCs/>
                <w:sz w:val="28"/>
                <w:szCs w:val="28"/>
              </w:rPr>
              <w:t>160 922,18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сто шестьдесят тысяч девятьсот двадцать два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я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18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056FFE" w:rsidRPr="0063468A" w:rsidRDefault="00056FFE" w:rsidP="00056FF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056FFE" w:rsidRDefault="00056FFE" w:rsidP="00056FFE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056FFE" w:rsidRDefault="00056FFE" w:rsidP="00056FF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056FFE" w:rsidRPr="00043E4A" w:rsidRDefault="00056FFE" w:rsidP="00056FFE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r w:rsidR="0052381B">
              <w:rPr>
                <w:rStyle w:val="a8"/>
                <w:rFonts w:eastAsiaTheme="majorEastAsia"/>
                <w:lang w:val="en-US"/>
              </w:rPr>
              <w:fldChar w:fldCharType="begin"/>
            </w:r>
            <w:r w:rsidR="0052381B" w:rsidRPr="0015008A">
              <w:rPr>
                <w:rStyle w:val="a8"/>
                <w:rFonts w:eastAsiaTheme="majorEastAsia"/>
              </w:rPr>
              <w:instrText xml:space="preserve"> </w:instrText>
            </w:r>
            <w:r w:rsidR="0052381B">
              <w:rPr>
                <w:rStyle w:val="a8"/>
                <w:rFonts w:eastAsiaTheme="majorEastAsia"/>
                <w:lang w:val="en-US"/>
              </w:rPr>
              <w:instrText>HYPERLINK</w:instrText>
            </w:r>
            <w:r w:rsidR="0052381B" w:rsidRPr="0015008A">
              <w:rPr>
                <w:rStyle w:val="a8"/>
                <w:rFonts w:eastAsiaTheme="majorEastAsia"/>
              </w:rPr>
              <w:instrText xml:space="preserve"> "</w:instrText>
            </w:r>
            <w:r w:rsidR="0052381B">
              <w:rPr>
                <w:rStyle w:val="a8"/>
                <w:rFonts w:eastAsiaTheme="majorEastAsia"/>
                <w:lang w:val="en-US"/>
              </w:rPr>
              <w:instrText>mailto</w:instrText>
            </w:r>
            <w:r w:rsidR="0052381B" w:rsidRPr="0015008A">
              <w:rPr>
                <w:rStyle w:val="a8"/>
                <w:rFonts w:eastAsiaTheme="majorEastAsia"/>
              </w:rPr>
              <w:instrText>:</w:instrText>
            </w:r>
            <w:r w:rsidR="0052381B">
              <w:rPr>
                <w:rStyle w:val="a8"/>
                <w:rFonts w:eastAsiaTheme="majorEastAsia"/>
                <w:lang w:val="en-US"/>
              </w:rPr>
              <w:instrText>MitrofanovaMN</w:instrText>
            </w:r>
            <w:r w:rsidR="0052381B" w:rsidRPr="0015008A">
              <w:rPr>
                <w:rStyle w:val="a8"/>
                <w:rFonts w:eastAsiaTheme="majorEastAsia"/>
              </w:rPr>
              <w:instrText>@</w:instrText>
            </w:r>
            <w:r w:rsidR="0052381B">
              <w:rPr>
                <w:rStyle w:val="a8"/>
                <w:rFonts w:eastAsiaTheme="majorEastAsia"/>
                <w:lang w:val="en-US"/>
              </w:rPr>
              <w:instrText>pk</w:instrText>
            </w:r>
            <w:r w:rsidR="0052381B" w:rsidRPr="0015008A">
              <w:rPr>
                <w:rStyle w:val="a8"/>
                <w:rFonts w:eastAsiaTheme="majorEastAsia"/>
              </w:rPr>
              <w:instrText>-</w:instrText>
            </w:r>
            <w:r w:rsidR="0052381B">
              <w:rPr>
                <w:rStyle w:val="a8"/>
                <w:rFonts w:eastAsiaTheme="majorEastAsia"/>
                <w:lang w:val="en-US"/>
              </w:rPr>
              <w:instrText>sakhalin</w:instrText>
            </w:r>
            <w:r w:rsidR="0052381B" w:rsidRPr="0015008A">
              <w:rPr>
                <w:rStyle w:val="a8"/>
                <w:rFonts w:eastAsiaTheme="majorEastAsia"/>
              </w:rPr>
              <w:instrText>.</w:instrText>
            </w:r>
            <w:r w:rsidR="0052381B">
              <w:rPr>
                <w:rStyle w:val="a8"/>
                <w:rFonts w:eastAsiaTheme="majorEastAsia"/>
                <w:lang w:val="en-US"/>
              </w:rPr>
              <w:instrText>ru</w:instrText>
            </w:r>
            <w:r w:rsidR="0052381B" w:rsidRPr="0015008A">
              <w:rPr>
                <w:rStyle w:val="a8"/>
                <w:rFonts w:eastAsiaTheme="majorEastAsia"/>
              </w:rPr>
              <w:instrText xml:space="preserve">" </w:instrText>
            </w:r>
            <w:r w:rsidR="0052381B">
              <w:rPr>
                <w:rStyle w:val="a8"/>
                <w:rFonts w:eastAsiaTheme="majorEastAsia"/>
                <w:lang w:val="en-US"/>
              </w:rPr>
              <w:fldChar w:fldCharType="separate"/>
            </w:r>
            <w:r w:rsidRPr="00E45CBD">
              <w:rPr>
                <w:rStyle w:val="a8"/>
                <w:rFonts w:eastAsiaTheme="majorEastAsia"/>
                <w:lang w:val="en-US"/>
              </w:rPr>
              <w:t>MitrofanovaMN</w:t>
            </w:r>
            <w:r w:rsidRPr="00E45CBD">
              <w:rPr>
                <w:rStyle w:val="a8"/>
                <w:rFonts w:eastAsiaTheme="majorEastAsia"/>
              </w:rPr>
              <w:t>@</w:t>
            </w:r>
            <w:r w:rsidRPr="00E45CBD">
              <w:rPr>
                <w:rStyle w:val="a8"/>
                <w:rFonts w:eastAsiaTheme="majorEastAsia"/>
                <w:lang w:val="en-US"/>
              </w:rPr>
              <w:t>pk</w:t>
            </w:r>
            <w:r w:rsidRPr="00E45CBD">
              <w:rPr>
                <w:rStyle w:val="a8"/>
                <w:rFonts w:eastAsiaTheme="majorEastAsia"/>
              </w:rPr>
              <w:t>-</w:t>
            </w:r>
            <w:r w:rsidRPr="00E45CBD">
              <w:rPr>
                <w:rStyle w:val="a8"/>
                <w:rFonts w:eastAsiaTheme="majorEastAsia"/>
                <w:lang w:val="en-US"/>
              </w:rPr>
              <w:t>sakhalin</w:t>
            </w:r>
            <w:r w:rsidRPr="00E45CBD">
              <w:rPr>
                <w:rStyle w:val="a8"/>
                <w:rFonts w:eastAsiaTheme="majorEastAsia"/>
              </w:rPr>
              <w:t>.</w:t>
            </w:r>
            <w:proofErr w:type="spellStart"/>
            <w:r w:rsidRPr="00E45CBD">
              <w:rPr>
                <w:rStyle w:val="a8"/>
                <w:rFonts w:eastAsiaTheme="majorEastAsia"/>
                <w:lang w:val="en-US"/>
              </w:rPr>
              <w:t>ru</w:t>
            </w:r>
            <w:proofErr w:type="spellEnd"/>
            <w:r w:rsidR="0052381B">
              <w:rPr>
                <w:rStyle w:val="a8"/>
                <w:rFonts w:eastAsiaTheme="majorEastAsia"/>
                <w:lang w:val="en-US"/>
              </w:rPr>
              <w:fldChar w:fldCharType="end"/>
            </w:r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056FFE" w:rsidRPr="00DE6E5A" w:rsidTr="00D52D88">
        <w:tc>
          <w:tcPr>
            <w:tcW w:w="846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056FFE" w:rsidRPr="00DE6E5A" w:rsidRDefault="00056FFE" w:rsidP="00D52D8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056FFE" w:rsidRDefault="00056FFE" w:rsidP="00D52D88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 xml:space="preserve">Поставка </w:t>
            </w:r>
            <w:r w:rsidR="00FC3DD7">
              <w:rPr>
                <w:b/>
                <w:bCs/>
                <w:sz w:val="28"/>
                <w:szCs w:val="28"/>
              </w:rPr>
              <w:t>лакокрасочной продукции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832B65">
              <w:rPr>
                <w:b/>
                <w:bCs/>
                <w:sz w:val="28"/>
                <w:szCs w:val="28"/>
              </w:rPr>
              <w:t xml:space="preserve"> </w:t>
            </w:r>
          </w:p>
          <w:p w:rsidR="00056FFE" w:rsidRPr="00DE6E5A" w:rsidRDefault="00056FFE" w:rsidP="00D52D88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15008A" w:rsidRPr="00DE6E5A" w:rsidTr="00D52D88">
        <w:tc>
          <w:tcPr>
            <w:tcW w:w="846" w:type="dxa"/>
          </w:tcPr>
          <w:p w:rsidR="0015008A" w:rsidRPr="00DE6E5A" w:rsidRDefault="0015008A" w:rsidP="001500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82" w:type="dxa"/>
          </w:tcPr>
          <w:p w:rsidR="0015008A" w:rsidRPr="00DE6E5A" w:rsidRDefault="0015008A" w:rsidP="0015008A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:rsidR="0015008A" w:rsidRPr="00E60950" w:rsidRDefault="0015008A" w:rsidP="0015008A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E60950">
              <w:rPr>
                <w:sz w:val="28"/>
                <w:szCs w:val="28"/>
              </w:rPr>
              <w:t xml:space="preserve">Установлен </w:t>
            </w:r>
            <w:r w:rsidRPr="00E60950">
              <w:rPr>
                <w:bCs/>
                <w:sz w:val="28"/>
                <w:szCs w:val="28"/>
              </w:rPr>
      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государств.</w:t>
            </w:r>
          </w:p>
          <w:p w:rsidR="0015008A" w:rsidRPr="00232DD3" w:rsidRDefault="0015008A" w:rsidP="0015008A">
            <w:pPr>
              <w:jc w:val="both"/>
              <w:rPr>
                <w:color w:val="000000"/>
                <w:sz w:val="28"/>
                <w:szCs w:val="28"/>
              </w:rPr>
            </w:pPr>
            <w:r w:rsidRPr="00E60950">
              <w:rPr>
                <w:bCs/>
                <w:sz w:val="28"/>
                <w:szCs w:val="28"/>
              </w:rPr>
              <w:t>Перечень поз</w:t>
            </w:r>
            <w:bookmarkStart w:id="1" w:name="_GoBack"/>
            <w:bookmarkEnd w:id="1"/>
            <w:r w:rsidRPr="00E60950">
              <w:rPr>
                <w:bCs/>
                <w:sz w:val="28"/>
                <w:szCs w:val="28"/>
              </w:rPr>
              <w:t xml:space="preserve">иций товаров, в отношении которых </w:t>
            </w:r>
            <w:r>
              <w:rPr>
                <w:bCs/>
                <w:sz w:val="28"/>
                <w:szCs w:val="28"/>
              </w:rPr>
              <w:t>установлен</w:t>
            </w:r>
            <w:r w:rsidRPr="00E60950">
              <w:rPr>
                <w:bCs/>
                <w:sz w:val="28"/>
                <w:szCs w:val="28"/>
              </w:rPr>
              <w:t xml:space="preserve"> запрет закупок товаров</w:t>
            </w:r>
            <w:r>
              <w:rPr>
                <w:bCs/>
                <w:sz w:val="28"/>
                <w:szCs w:val="28"/>
              </w:rPr>
              <w:t>,</w:t>
            </w:r>
            <w:r w:rsidRPr="00E60950">
              <w:rPr>
                <w:bCs/>
                <w:sz w:val="28"/>
                <w:szCs w:val="28"/>
              </w:rPr>
              <w:t xml:space="preserve"> происходящих из иностранных государств, указан в техническом задании, являющемся приложением № 1.1 к документации о закупке.</w:t>
            </w:r>
          </w:p>
        </w:tc>
      </w:tr>
      <w:tr w:rsidR="00026357" w:rsidRPr="00DE6E5A" w:rsidTr="00D52D88">
        <w:tc>
          <w:tcPr>
            <w:tcW w:w="846" w:type="dxa"/>
          </w:tcPr>
          <w:p w:rsidR="00026357" w:rsidRPr="00DE6E5A" w:rsidRDefault="00836DF8" w:rsidP="000263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026357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026357" w:rsidRPr="00DE6E5A" w:rsidRDefault="00026357" w:rsidP="000263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Место </w:t>
            </w:r>
            <w:r>
              <w:rPr>
                <w:bCs/>
                <w:sz w:val="28"/>
                <w:szCs w:val="28"/>
              </w:rPr>
              <w:t>поставки товара</w:t>
            </w:r>
          </w:p>
        </w:tc>
        <w:tc>
          <w:tcPr>
            <w:tcW w:w="6913" w:type="dxa"/>
          </w:tcPr>
          <w:p w:rsidR="00026357" w:rsidRPr="00DE6E5A" w:rsidRDefault="00026357" w:rsidP="0002635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026357" w:rsidRPr="00DE6E5A" w:rsidTr="00D52D88">
        <w:tc>
          <w:tcPr>
            <w:tcW w:w="846" w:type="dxa"/>
          </w:tcPr>
          <w:p w:rsidR="00026357" w:rsidRPr="00DE6E5A" w:rsidRDefault="00836DF8" w:rsidP="000263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026357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026357" w:rsidRPr="00DE6E5A" w:rsidRDefault="00026357" w:rsidP="000263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026357" w:rsidRPr="007F4DA4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026357" w:rsidRDefault="00026357" w:rsidP="00026357">
            <w:pPr>
              <w:rPr>
                <w:b/>
                <w:color w:val="000000"/>
                <w:sz w:val="28"/>
                <w:szCs w:val="28"/>
              </w:rPr>
            </w:pPr>
            <w:r w:rsidRPr="00FC3DD7">
              <w:rPr>
                <w:b/>
                <w:color w:val="000000"/>
                <w:sz w:val="28"/>
                <w:szCs w:val="28"/>
              </w:rPr>
              <w:t>3 862 132,20 (три миллиона восемьсот шестьдесят две тысячи сто тридцать два) рубля 20 копеек</w:t>
            </w:r>
            <w:r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</w:p>
          <w:p w:rsidR="00026357" w:rsidRPr="007F4DA4" w:rsidRDefault="00026357" w:rsidP="0002635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7F4DA4">
              <w:rPr>
                <w:bCs/>
                <w:color w:val="000000"/>
                <w:sz w:val="28"/>
                <w:szCs w:val="28"/>
              </w:rPr>
              <w:t xml:space="preserve">стоимость Товара, все </w:t>
            </w:r>
            <w:r w:rsidRPr="007F4DA4">
              <w:rPr>
                <w:bCs/>
                <w:color w:val="000000"/>
                <w:sz w:val="28"/>
                <w:szCs w:val="28"/>
              </w:rPr>
              <w:lastRenderedPageBreak/>
              <w:t>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Покупателя.</w:t>
            </w:r>
          </w:p>
          <w:p w:rsidR="00026357" w:rsidRPr="007F4DA4" w:rsidRDefault="00026357" w:rsidP="00026357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7F4DA4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026357" w:rsidRPr="00DE6E5A" w:rsidTr="00D52D88">
        <w:tc>
          <w:tcPr>
            <w:tcW w:w="846" w:type="dxa"/>
          </w:tcPr>
          <w:p w:rsidR="00026357" w:rsidRPr="00DE6E5A" w:rsidRDefault="00836DF8" w:rsidP="000263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  <w:r w:rsidR="00026357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026357" w:rsidRPr="00DE6E5A" w:rsidRDefault="00026357" w:rsidP="000263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026357" w:rsidRPr="00DE6E5A" w:rsidRDefault="00026357" w:rsidP="000263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026357" w:rsidRPr="00DE6E5A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026357" w:rsidRPr="00DE6E5A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026357" w:rsidRPr="00DE6E5A" w:rsidRDefault="00026357" w:rsidP="00026357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026357" w:rsidRPr="00DE6E5A" w:rsidTr="00D52D88">
        <w:tc>
          <w:tcPr>
            <w:tcW w:w="846" w:type="dxa"/>
          </w:tcPr>
          <w:p w:rsidR="00026357" w:rsidRPr="00DE6E5A" w:rsidRDefault="00026357" w:rsidP="00836D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836DF8"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026357" w:rsidRPr="00DE6E5A" w:rsidRDefault="00026357" w:rsidP="000263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026357" w:rsidRDefault="00026357" w:rsidP="0002635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>
              <w:rPr>
                <w:bCs/>
                <w:sz w:val="28"/>
                <w:szCs w:val="28"/>
              </w:rPr>
              <w:br/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026357" w:rsidRDefault="00026357" w:rsidP="00026357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026357" w:rsidRDefault="00026357" w:rsidP="0002635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193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026357" w:rsidRPr="00DE6E5A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026357" w:rsidRPr="00DE6E5A" w:rsidTr="00D52D88">
        <w:tc>
          <w:tcPr>
            <w:tcW w:w="846" w:type="dxa"/>
          </w:tcPr>
          <w:p w:rsidR="00026357" w:rsidRPr="00DE6E5A" w:rsidRDefault="00026357" w:rsidP="00836D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836DF8">
              <w:rPr>
                <w:bCs/>
                <w:sz w:val="28"/>
                <w:szCs w:val="28"/>
              </w:rPr>
              <w:t>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026357" w:rsidRPr="00DE6E5A" w:rsidRDefault="00026357" w:rsidP="000263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026357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</w:p>
          <w:p w:rsidR="00026357" w:rsidRDefault="00026357" w:rsidP="00026357">
            <w:pPr>
              <w:jc w:val="both"/>
              <w:rPr>
                <w:bCs/>
                <w:i/>
                <w:sz w:val="28"/>
                <w:szCs w:val="28"/>
              </w:rPr>
            </w:pP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026357" w:rsidRPr="00D63868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026357" w:rsidRPr="00D63868" w:rsidRDefault="00026357" w:rsidP="00026357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026357" w:rsidRDefault="00026357" w:rsidP="00026357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</w:p>
          <w:p w:rsidR="00026357" w:rsidRPr="00363AF5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026357" w:rsidRPr="00DE6E5A" w:rsidRDefault="00026357" w:rsidP="00026357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056FFE" w:rsidRDefault="00056FFE" w:rsidP="00056FFE"/>
    <w:p w:rsidR="00056FFE" w:rsidRDefault="00056FFE" w:rsidP="00056FFE"/>
    <w:p w:rsidR="00056FFE" w:rsidRDefault="00056FFE" w:rsidP="00056FFE"/>
    <w:p w:rsidR="00056FFE" w:rsidRDefault="00056FFE" w:rsidP="00056FFE"/>
    <w:p w:rsidR="00CD1216" w:rsidRDefault="00CD1216"/>
    <w:sectPr w:rsidR="00CD1216" w:rsidSect="005B2EBD">
      <w:headerReference w:type="even" r:id="rId9"/>
      <w:headerReference w:type="default" r:id="rId10"/>
      <w:footerReference w:type="even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1B" w:rsidRDefault="0052381B">
      <w:r>
        <w:separator/>
      </w:r>
    </w:p>
  </w:endnote>
  <w:endnote w:type="continuationSeparator" w:id="0">
    <w:p w:rsidR="0052381B" w:rsidRDefault="0052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3215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52381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1B" w:rsidRDefault="0052381B">
      <w:r>
        <w:separator/>
      </w:r>
    </w:p>
  </w:footnote>
  <w:footnote w:type="continuationSeparator" w:id="0">
    <w:p w:rsidR="0052381B" w:rsidRDefault="0052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3215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5238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3215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08A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52381B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52381B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FE"/>
    <w:rsid w:val="00026357"/>
    <w:rsid w:val="00056FFE"/>
    <w:rsid w:val="0015008A"/>
    <w:rsid w:val="0052381B"/>
    <w:rsid w:val="006725FA"/>
    <w:rsid w:val="006A436E"/>
    <w:rsid w:val="006E2CB6"/>
    <w:rsid w:val="00836DF8"/>
    <w:rsid w:val="00CD1216"/>
    <w:rsid w:val="00D8392D"/>
    <w:rsid w:val="00F3215A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94B5C-BFE8-412F-B1B3-A74600FE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F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F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6FFE"/>
  </w:style>
  <w:style w:type="paragraph" w:styleId="a6">
    <w:name w:val="footer"/>
    <w:basedOn w:val="a"/>
    <w:link w:val="a7"/>
    <w:rsid w:val="00056F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056FFE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056F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056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MN@pk-sakhali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ao@pk-sakhalin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8</cp:revision>
  <dcterms:created xsi:type="dcterms:W3CDTF">2025-05-21T04:44:00Z</dcterms:created>
  <dcterms:modified xsi:type="dcterms:W3CDTF">2025-05-22T03:08:00Z</dcterms:modified>
</cp:coreProperties>
</file>