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623E89" w:rsidRDefault="009416A7" w:rsidP="00AE65B4">
      <w:pPr>
        <w:pStyle w:val="11"/>
        <w:ind w:firstLine="0"/>
        <w:jc w:val="center"/>
        <w:rPr>
          <w:rFonts w:eastAsia="MS Mincho"/>
          <w:b/>
          <w:szCs w:val="28"/>
          <w:lang w:val="en-US"/>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62AD3339"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23</w:t>
      </w:r>
      <w:r w:rsidR="00205B96" w:rsidRPr="00205B96">
        <w:rPr>
          <w:b/>
          <w:bCs/>
          <w:sz w:val="28"/>
          <w:szCs w:val="28"/>
        </w:rPr>
        <w:t>4</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поставки </w:t>
      </w:r>
      <w:r w:rsidR="001B573C" w:rsidRPr="00C57980">
        <w:rPr>
          <w:b/>
          <w:bCs/>
          <w:sz w:val="28"/>
          <w:szCs w:val="28"/>
        </w:rPr>
        <w:t>тапочек одноразовых махровых</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353FF5AD"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205B96">
              <w:rPr>
                <w:b/>
                <w:bCs/>
                <w:sz w:val="28"/>
                <w:szCs w:val="28"/>
              </w:rPr>
              <w:t>1</w:t>
            </w:r>
            <w:r w:rsidR="0002485F">
              <w:rPr>
                <w:b/>
                <w:bCs/>
                <w:sz w:val="28"/>
                <w:szCs w:val="28"/>
              </w:rPr>
              <w:t>1</w:t>
            </w:r>
            <w:r w:rsidR="00AE65B4" w:rsidRPr="005B3E5A">
              <w:rPr>
                <w:b/>
                <w:bCs/>
                <w:sz w:val="28"/>
                <w:szCs w:val="28"/>
              </w:rPr>
              <w:t>»</w:t>
            </w:r>
            <w:r w:rsidR="00205B96" w:rsidRPr="00205B96">
              <w:rPr>
                <w:b/>
                <w:bCs/>
                <w:sz w:val="28"/>
                <w:szCs w:val="28"/>
              </w:rPr>
              <w:t xml:space="preserve"> </w:t>
            </w:r>
            <w:r w:rsidR="00205B96">
              <w:rPr>
                <w:b/>
                <w:bCs/>
                <w:sz w:val="28"/>
                <w:szCs w:val="28"/>
              </w:rPr>
              <w:t xml:space="preserve">февраля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77D1D353" w:rsidR="006D7D15" w:rsidRPr="00DE6E5A" w:rsidRDefault="006D7D15" w:rsidP="00205B96">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23</w:t>
            </w:r>
            <w:r w:rsidR="00205B96" w:rsidRPr="00205B96">
              <w:rPr>
                <w:b/>
                <w:bCs/>
                <w:sz w:val="28"/>
                <w:szCs w:val="28"/>
              </w:rPr>
              <w:t>4</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5BC6EE3F" w:rsidR="006D7D15" w:rsidRPr="00DE6E5A" w:rsidRDefault="00710002" w:rsidP="00205B96">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23</w:t>
            </w:r>
            <w:r w:rsidR="00205B96">
              <w:rPr>
                <w:b/>
                <w:bCs/>
                <w:sz w:val="28"/>
                <w:szCs w:val="28"/>
              </w:rPr>
              <w:t>4</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5A8B4482" w:rsidR="00351A04" w:rsidRPr="00FE5FA9" w:rsidRDefault="00351A04" w:rsidP="00351A04">
            <w:pPr>
              <w:rPr>
                <w:bCs/>
                <w:sz w:val="28"/>
                <w:szCs w:val="28"/>
              </w:rPr>
            </w:pPr>
            <w:r w:rsidRPr="00FE5FA9">
              <w:rPr>
                <w:bCs/>
                <w:sz w:val="28"/>
                <w:szCs w:val="28"/>
              </w:rPr>
              <w:t xml:space="preserve">Контактное лицо: </w:t>
            </w:r>
            <w:r w:rsidR="00366213">
              <w:rPr>
                <w:bCs/>
                <w:sz w:val="28"/>
                <w:szCs w:val="28"/>
              </w:rPr>
              <w:t>Ждановских Валентина</w:t>
            </w:r>
            <w:r w:rsidR="00FE5FA9" w:rsidRPr="00FE5FA9">
              <w:rPr>
                <w:bCs/>
                <w:sz w:val="28"/>
                <w:szCs w:val="28"/>
              </w:rPr>
              <w:t xml:space="preserve"> Сергеевна</w:t>
            </w:r>
            <w:r w:rsidRPr="00FE5FA9">
              <w:rPr>
                <w:bCs/>
                <w:sz w:val="28"/>
                <w:szCs w:val="28"/>
              </w:rPr>
              <w:t>.</w:t>
            </w:r>
          </w:p>
          <w:p w14:paraId="4FB870E9" w14:textId="7E08E4AC"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366213" w:rsidRPr="00366213">
              <w:rPr>
                <w:bCs/>
                <w:sz w:val="28"/>
                <w:szCs w:val="28"/>
              </w:rPr>
              <w:t>ZhdanovskihVS</w:t>
            </w:r>
            <w:r w:rsidR="00FE5FA9" w:rsidRPr="00FE5FA9">
              <w:rPr>
                <w:sz w:val="28"/>
                <w:szCs w:val="28"/>
              </w:rPr>
              <w:t>@pk-sakhalin.ru</w:t>
            </w:r>
          </w:p>
          <w:p w14:paraId="71D0760F" w14:textId="76D6737F" w:rsidR="006D7D15" w:rsidRPr="00FE5FA9" w:rsidRDefault="00351A04" w:rsidP="00366213">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366213">
              <w:rPr>
                <w:bCs/>
                <w:sz w:val="28"/>
                <w:szCs w:val="28"/>
              </w:rPr>
              <w:t>31</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160774A1" w14:textId="2CDDC00B" w:rsidR="006D7D15" w:rsidRPr="00DE6E5A" w:rsidRDefault="004564A3" w:rsidP="006E30ED">
            <w:pPr>
              <w:jc w:val="both"/>
              <w:rPr>
                <w:bCs/>
                <w:i/>
                <w:sz w:val="28"/>
                <w:szCs w:val="28"/>
              </w:rPr>
            </w:pPr>
            <w:r w:rsidRPr="004564A3">
              <w:rPr>
                <w:bCs/>
                <w:color w:val="000000"/>
                <w:sz w:val="28"/>
                <w:szCs w:val="28"/>
              </w:rPr>
              <w:t xml:space="preserve">Размер обеспечения исполнения договора </w:t>
            </w:r>
            <w:r w:rsidR="00205B96">
              <w:rPr>
                <w:sz w:val="28"/>
                <w:szCs w:val="28"/>
              </w:rPr>
              <w:t>не предусмотрен</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25150BE8" w14:textId="0FED9704" w:rsidR="00205B96" w:rsidRDefault="00205B96" w:rsidP="00205B96">
            <w:pPr>
              <w:jc w:val="center"/>
              <w:rPr>
                <w:b/>
                <w:bCs/>
                <w:sz w:val="28"/>
                <w:szCs w:val="28"/>
              </w:rPr>
            </w:pPr>
            <w:r>
              <w:rPr>
                <w:b/>
                <w:bCs/>
                <w:sz w:val="28"/>
                <w:szCs w:val="28"/>
              </w:rPr>
              <w:t>П</w:t>
            </w:r>
            <w:r w:rsidRPr="00C57980">
              <w:rPr>
                <w:b/>
                <w:bCs/>
                <w:sz w:val="28"/>
                <w:szCs w:val="28"/>
              </w:rPr>
              <w:t>оставк</w:t>
            </w:r>
            <w:r>
              <w:rPr>
                <w:b/>
                <w:bCs/>
                <w:sz w:val="28"/>
                <w:szCs w:val="28"/>
              </w:rPr>
              <w:t>а</w:t>
            </w:r>
            <w:r w:rsidRPr="00C57980">
              <w:rPr>
                <w:b/>
                <w:bCs/>
                <w:sz w:val="28"/>
                <w:szCs w:val="28"/>
              </w:rPr>
              <w:t xml:space="preserve"> тапочек одноразовых махровых</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 xml:space="preserve">Предоставление национального режима </w:t>
            </w:r>
            <w:r w:rsidRPr="008C2210">
              <w:rPr>
                <w:bCs/>
                <w:sz w:val="28"/>
                <w:szCs w:val="28"/>
              </w:rPr>
              <w:lastRenderedPageBreak/>
              <w:t>при осуществлении закупки</w:t>
            </w:r>
          </w:p>
        </w:tc>
        <w:tc>
          <w:tcPr>
            <w:tcW w:w="6407" w:type="dxa"/>
          </w:tcPr>
          <w:p w14:paraId="45FBBF45" w14:textId="77777777" w:rsidR="00B674C2" w:rsidRDefault="00381B13" w:rsidP="00B674C2">
            <w:pPr>
              <w:jc w:val="both"/>
              <w:rPr>
                <w:bCs/>
                <w:sz w:val="28"/>
                <w:szCs w:val="28"/>
              </w:rPr>
            </w:pPr>
            <w:r>
              <w:rPr>
                <w:sz w:val="28"/>
                <w:szCs w:val="28"/>
              </w:rPr>
              <w:lastRenderedPageBreak/>
              <w:t>Установлен</w:t>
            </w:r>
            <w:r w:rsidR="00623E89">
              <w:rPr>
                <w:sz w:val="28"/>
                <w:szCs w:val="28"/>
              </w:rPr>
              <w:t>о</w:t>
            </w:r>
            <w:r>
              <w:rPr>
                <w:sz w:val="28"/>
                <w:szCs w:val="28"/>
              </w:rPr>
              <w:t xml:space="preserve"> преимущество </w:t>
            </w:r>
            <w:r w:rsidRPr="00056A01">
              <w:rPr>
                <w:bCs/>
                <w:sz w:val="28"/>
                <w:szCs w:val="28"/>
              </w:rPr>
              <w:t>в отношении то</w:t>
            </w:r>
            <w:r w:rsidR="00B674C2">
              <w:rPr>
                <w:bCs/>
                <w:sz w:val="28"/>
                <w:szCs w:val="28"/>
              </w:rPr>
              <w:t>варов российского происхождения.</w:t>
            </w:r>
          </w:p>
          <w:p w14:paraId="2F338E46" w14:textId="31BD4B3A" w:rsidR="008C2210" w:rsidRPr="00B674C2" w:rsidRDefault="00381B13" w:rsidP="00B674C2">
            <w:pPr>
              <w:jc w:val="both"/>
              <w:rPr>
                <w:bCs/>
                <w:sz w:val="28"/>
                <w:szCs w:val="28"/>
              </w:rPr>
            </w:pPr>
            <w:bookmarkStart w:id="1" w:name="_GoBack"/>
            <w:bookmarkEnd w:id="1"/>
            <w:r>
              <w:rPr>
                <w:bCs/>
                <w:sz w:val="28"/>
                <w:szCs w:val="28"/>
              </w:rPr>
              <w:lastRenderedPageBreak/>
              <w:t>Применяется исключение по запрету на</w:t>
            </w:r>
            <w:r w:rsidRPr="00792FB6">
              <w:rPr>
                <w:bCs/>
                <w:sz w:val="28"/>
                <w:szCs w:val="28"/>
              </w:rPr>
              <w:t xml:space="preserve"> о</w:t>
            </w:r>
            <w:r>
              <w:rPr>
                <w:bCs/>
                <w:sz w:val="28"/>
                <w:szCs w:val="28"/>
              </w:rPr>
              <w:t xml:space="preserve">сновании </w:t>
            </w:r>
            <w:proofErr w:type="spellStart"/>
            <w:r>
              <w:rPr>
                <w:bCs/>
                <w:sz w:val="28"/>
                <w:szCs w:val="28"/>
              </w:rPr>
              <w:t>пп</w:t>
            </w:r>
            <w:proofErr w:type="spellEnd"/>
            <w:r>
              <w:rPr>
                <w:bCs/>
                <w:sz w:val="28"/>
                <w:szCs w:val="28"/>
              </w:rPr>
              <w:t xml:space="preserve">. «И» п.5 постановления Правительства Российской Федерации </w:t>
            </w:r>
            <w:r w:rsidRPr="00792FB6">
              <w:rPr>
                <w:bCs/>
                <w:sz w:val="28"/>
                <w:szCs w:val="28"/>
              </w:rPr>
              <w:t xml:space="preserve">от 23 декабря 2024 г. </w:t>
            </w:r>
            <w:r>
              <w:rPr>
                <w:bCs/>
                <w:sz w:val="28"/>
                <w:szCs w:val="28"/>
              </w:rPr>
              <w:t>№</w:t>
            </w:r>
            <w:r w:rsidRPr="00792FB6">
              <w:rPr>
                <w:bCs/>
                <w:sz w:val="28"/>
                <w:szCs w:val="28"/>
              </w:rPr>
              <w:t xml:space="preserve"> 1875</w:t>
            </w:r>
            <w:r>
              <w:rPr>
                <w:bCs/>
                <w:sz w:val="28"/>
                <w:szCs w:val="28"/>
              </w:rPr>
              <w:t>.</w:t>
            </w:r>
          </w:p>
        </w:tc>
      </w:tr>
      <w:tr w:rsidR="006D7D15" w:rsidRPr="00DE6E5A" w14:paraId="5554165D" w14:textId="77777777" w:rsidTr="00212C77">
        <w:tc>
          <w:tcPr>
            <w:tcW w:w="846" w:type="dxa"/>
          </w:tcPr>
          <w:p w14:paraId="21A444D7" w14:textId="65E593AE" w:rsidR="006D7D15" w:rsidRPr="00DE6E5A" w:rsidRDefault="008C2210">
            <w:pPr>
              <w:jc w:val="center"/>
              <w:rPr>
                <w:bCs/>
                <w:sz w:val="28"/>
                <w:szCs w:val="28"/>
              </w:rPr>
            </w:pPr>
            <w:r>
              <w:rPr>
                <w:bCs/>
                <w:sz w:val="28"/>
                <w:szCs w:val="28"/>
              </w:rPr>
              <w:lastRenderedPageBreak/>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60CD62B7" w:rsidR="00B02027" w:rsidRDefault="004564A3">
            <w:pPr>
              <w:jc w:val="both"/>
              <w:rPr>
                <w:bCs/>
                <w:sz w:val="28"/>
                <w:szCs w:val="28"/>
              </w:rPr>
            </w:pPr>
            <w:r w:rsidRPr="004564A3">
              <w:rPr>
                <w:b/>
                <w:bCs/>
                <w:sz w:val="28"/>
                <w:szCs w:val="28"/>
              </w:rPr>
              <w:t xml:space="preserve"> </w:t>
            </w:r>
            <w:r w:rsidR="002B27C3">
              <w:rPr>
                <w:sz w:val="28"/>
                <w:szCs w:val="28"/>
              </w:rPr>
              <w:t>-</w:t>
            </w:r>
            <w:r w:rsidR="00452527">
              <w:rPr>
                <w:sz w:val="28"/>
                <w:szCs w:val="28"/>
              </w:rPr>
              <w:t xml:space="preserve"> 629 460,00 (шестьсот двадцать девять тысяч четыреста шестьдесят рублей 00 копеек) без учета НДС</w:t>
            </w:r>
            <w:r w:rsidR="00B02027">
              <w:rPr>
                <w:bCs/>
                <w:sz w:val="28"/>
                <w:szCs w:val="28"/>
              </w:rPr>
              <w:t>;</w:t>
            </w:r>
          </w:p>
          <w:p w14:paraId="607C9CE8" w14:textId="7B3F0ACB" w:rsidR="006C66CA" w:rsidRPr="00452527" w:rsidRDefault="006F05A3">
            <w:pPr>
              <w:jc w:val="both"/>
              <w:rPr>
                <w:bCs/>
                <w:i/>
                <w:sz w:val="28"/>
                <w:szCs w:val="28"/>
              </w:rPr>
            </w:pPr>
            <w:r>
              <w:rPr>
                <w:b/>
                <w:bCs/>
                <w:sz w:val="28"/>
                <w:szCs w:val="28"/>
              </w:rPr>
              <w:t>-</w:t>
            </w:r>
            <w:r w:rsidR="002B27C3">
              <w:rPr>
                <w:b/>
                <w:bCs/>
                <w:sz w:val="28"/>
                <w:szCs w:val="28"/>
              </w:rPr>
              <w:t xml:space="preserve"> </w:t>
            </w:r>
            <w:r w:rsidR="00452527" w:rsidRPr="00452527">
              <w:rPr>
                <w:bCs/>
                <w:sz w:val="28"/>
                <w:szCs w:val="28"/>
              </w:rPr>
              <w:t>767 941,20</w:t>
            </w:r>
            <w:r w:rsidR="00452527" w:rsidRPr="00452527">
              <w:rPr>
                <w:b/>
                <w:bCs/>
                <w:sz w:val="28"/>
                <w:szCs w:val="28"/>
              </w:rPr>
              <w:t xml:space="preserve"> </w:t>
            </w:r>
            <w:r w:rsidR="00452527" w:rsidRPr="00452527">
              <w:rPr>
                <w:bCs/>
                <w:sz w:val="28"/>
                <w:szCs w:val="28"/>
              </w:rPr>
              <w:t>(семьсот шестьдесят семь тысяч девятьсот сорок один рубль 20 копеек)</w:t>
            </w:r>
            <w:r w:rsidR="006C66CA" w:rsidRPr="00452527">
              <w:rPr>
                <w:bCs/>
                <w:sz w:val="28"/>
                <w:szCs w:val="28"/>
              </w:rPr>
              <w:t>.</w:t>
            </w:r>
          </w:p>
          <w:p w14:paraId="3612E80D" w14:textId="2EC39FB3" w:rsidR="006D7D15" w:rsidRPr="00DE6E5A" w:rsidRDefault="00452527" w:rsidP="0093750E">
            <w:pPr>
              <w:jc w:val="both"/>
              <w:rPr>
                <w:bCs/>
                <w:i/>
                <w:sz w:val="28"/>
                <w:szCs w:val="28"/>
              </w:rPr>
            </w:pPr>
            <w:r w:rsidRPr="00452527">
              <w:rPr>
                <w:sz w:val="28"/>
                <w:szCs w:val="28"/>
                <w:lang w:eastAsia="en-US"/>
              </w:rPr>
              <w:t>Начальная (максимальная) цена договора сформирована методом сопоставимых рыночных цен (анализом рынка), предусмотренным подпунктом 1 пункта 54 Положения о закупке товаров, работ, услуг для нужд заказчика, и включает стоимость всех возможных расходов Поставщика, в том числе, всех видов налогов, транспортных расходов, погрузки/разгрузки на складе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0B3262B1"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452527">
              <w:rPr>
                <w:b/>
                <w:bCs/>
                <w:sz w:val="28"/>
                <w:szCs w:val="28"/>
              </w:rPr>
              <w:t>1</w:t>
            </w:r>
            <w:r w:rsidR="0002485F">
              <w:rPr>
                <w:b/>
                <w:bCs/>
                <w:sz w:val="28"/>
                <w:szCs w:val="28"/>
              </w:rPr>
              <w:t>1</w:t>
            </w:r>
            <w:r w:rsidR="00372E52" w:rsidRPr="00372E52">
              <w:rPr>
                <w:b/>
                <w:bCs/>
                <w:sz w:val="28"/>
                <w:szCs w:val="28"/>
              </w:rPr>
              <w:t>»</w:t>
            </w:r>
            <w:r w:rsidR="00A8780F">
              <w:rPr>
                <w:b/>
                <w:bCs/>
                <w:sz w:val="28"/>
                <w:szCs w:val="28"/>
              </w:rPr>
              <w:t xml:space="preserve"> </w:t>
            </w:r>
            <w:r w:rsidR="00452527">
              <w:rPr>
                <w:b/>
                <w:bCs/>
                <w:sz w:val="28"/>
                <w:szCs w:val="28"/>
              </w:rPr>
              <w:t>февраля</w:t>
            </w:r>
            <w:r w:rsidR="004564A3">
              <w:rPr>
                <w:b/>
                <w:bCs/>
                <w:sz w:val="28"/>
                <w:szCs w:val="28"/>
              </w:rPr>
              <w:t xml:space="preserve">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6602C860"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452527">
              <w:rPr>
                <w:b/>
                <w:bCs/>
                <w:sz w:val="28"/>
                <w:szCs w:val="28"/>
              </w:rPr>
              <w:t>2</w:t>
            </w:r>
            <w:r w:rsidR="0002485F">
              <w:rPr>
                <w:b/>
                <w:bCs/>
                <w:sz w:val="28"/>
                <w:szCs w:val="28"/>
              </w:rPr>
              <w:t>5</w:t>
            </w:r>
            <w:r w:rsidR="004469A8" w:rsidRPr="009A14CD">
              <w:rPr>
                <w:b/>
                <w:bCs/>
                <w:sz w:val="28"/>
                <w:szCs w:val="28"/>
              </w:rPr>
              <w:t>»</w:t>
            </w:r>
            <w:r w:rsidR="006E30ED">
              <w:rPr>
                <w:b/>
                <w:bCs/>
                <w:sz w:val="28"/>
                <w:szCs w:val="28"/>
              </w:rPr>
              <w:t xml:space="preserve"> </w:t>
            </w:r>
            <w:r w:rsidR="004564A3">
              <w:rPr>
                <w:b/>
                <w:bCs/>
                <w:sz w:val="28"/>
                <w:szCs w:val="28"/>
              </w:rPr>
              <w:t xml:space="preserve">февраля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5BEA2745"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233</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6E157831"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02485F">
              <w:rPr>
                <w:b/>
                <w:bCs/>
                <w:sz w:val="28"/>
                <w:szCs w:val="28"/>
              </w:rPr>
              <w:t>26</w:t>
            </w:r>
            <w:r w:rsidR="00C06C5D" w:rsidRPr="00C06C5D">
              <w:rPr>
                <w:b/>
                <w:bCs/>
                <w:sz w:val="28"/>
                <w:szCs w:val="28"/>
              </w:rPr>
              <w:t>»</w:t>
            </w:r>
            <w:r w:rsidR="00A8780F">
              <w:rPr>
                <w:b/>
                <w:bCs/>
                <w:sz w:val="28"/>
                <w:szCs w:val="28"/>
              </w:rPr>
              <w:t xml:space="preserve"> </w:t>
            </w:r>
            <w:r w:rsidR="0002485F">
              <w:rPr>
                <w:b/>
                <w:bCs/>
                <w:sz w:val="28"/>
                <w:szCs w:val="28"/>
              </w:rPr>
              <w:t>февраля</w:t>
            </w:r>
            <w:r w:rsidR="004564A3">
              <w:rPr>
                <w:b/>
                <w:bCs/>
                <w:sz w:val="28"/>
                <w:szCs w:val="28"/>
              </w:rPr>
              <w:t xml:space="preserve">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423CDE6D"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452527">
              <w:rPr>
                <w:b/>
                <w:bCs/>
                <w:sz w:val="28"/>
                <w:szCs w:val="28"/>
              </w:rPr>
              <w:t>0</w:t>
            </w:r>
            <w:r w:rsidR="0002485F">
              <w:rPr>
                <w:b/>
                <w:bCs/>
                <w:sz w:val="28"/>
                <w:szCs w:val="28"/>
              </w:rPr>
              <w:t>2</w:t>
            </w:r>
            <w:r w:rsidR="00C06C5D" w:rsidRPr="009A14CD">
              <w:rPr>
                <w:b/>
                <w:bCs/>
                <w:sz w:val="28"/>
                <w:szCs w:val="28"/>
              </w:rPr>
              <w:t>»</w:t>
            </w:r>
            <w:r w:rsidR="00C06C5D">
              <w:rPr>
                <w:b/>
                <w:bCs/>
                <w:sz w:val="28"/>
                <w:szCs w:val="28"/>
              </w:rPr>
              <w:t xml:space="preserve"> </w:t>
            </w:r>
            <w:r w:rsidR="00452527">
              <w:rPr>
                <w:b/>
                <w:bCs/>
                <w:sz w:val="28"/>
                <w:szCs w:val="28"/>
              </w:rPr>
              <w:t>марта</w:t>
            </w:r>
            <w:r w:rsidR="004564A3">
              <w:rPr>
                <w:b/>
                <w:bCs/>
                <w:sz w:val="28"/>
                <w:szCs w:val="28"/>
              </w:rPr>
              <w:t xml:space="preserve">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65639FBD"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02485F">
              <w:rPr>
                <w:b/>
                <w:bCs/>
                <w:sz w:val="28"/>
                <w:szCs w:val="28"/>
              </w:rPr>
              <w:t>03</w:t>
            </w:r>
            <w:r w:rsidR="00C06C5D" w:rsidRPr="007446C6">
              <w:rPr>
                <w:b/>
                <w:bCs/>
                <w:sz w:val="28"/>
                <w:szCs w:val="28"/>
              </w:rPr>
              <w:t>»</w:t>
            </w:r>
            <w:r w:rsidR="006C539E">
              <w:rPr>
                <w:b/>
                <w:bCs/>
                <w:sz w:val="28"/>
                <w:szCs w:val="28"/>
              </w:rPr>
              <w:t xml:space="preserve"> </w:t>
            </w:r>
            <w:r w:rsidR="00452527">
              <w:rPr>
                <w:b/>
                <w:bCs/>
                <w:sz w:val="28"/>
                <w:szCs w:val="28"/>
              </w:rPr>
              <w:t>марта</w:t>
            </w:r>
            <w:r w:rsidR="004564A3">
              <w:rPr>
                <w:b/>
                <w:bCs/>
                <w:sz w:val="28"/>
                <w:szCs w:val="28"/>
              </w:rPr>
              <w:t xml:space="preserve">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696138F0"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02485F">
              <w:rPr>
                <w:b/>
                <w:bCs/>
                <w:sz w:val="28"/>
                <w:szCs w:val="28"/>
              </w:rPr>
              <w:t>03</w:t>
            </w:r>
            <w:r w:rsidR="00C06C5D" w:rsidRPr="001F37C5">
              <w:rPr>
                <w:b/>
                <w:bCs/>
                <w:sz w:val="28"/>
                <w:szCs w:val="28"/>
              </w:rPr>
              <w:t xml:space="preserve">» </w:t>
            </w:r>
            <w:r w:rsidR="00452527">
              <w:rPr>
                <w:b/>
                <w:bCs/>
                <w:sz w:val="28"/>
                <w:szCs w:val="28"/>
              </w:rPr>
              <w:t>марта</w:t>
            </w:r>
            <w:r w:rsidR="004564A3">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384E0" w14:textId="77777777" w:rsidR="00035BFD" w:rsidRDefault="00035BFD">
      <w:r>
        <w:separator/>
      </w:r>
    </w:p>
  </w:endnote>
  <w:endnote w:type="continuationSeparator" w:id="0">
    <w:p w14:paraId="163B59C0" w14:textId="77777777" w:rsidR="00035BFD" w:rsidRDefault="0003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D9AC3" w14:textId="77777777" w:rsidR="00035BFD" w:rsidRDefault="00035BFD">
      <w:r>
        <w:separator/>
      </w:r>
    </w:p>
  </w:footnote>
  <w:footnote w:type="continuationSeparator" w:id="0">
    <w:p w14:paraId="137501CF" w14:textId="77777777" w:rsidR="00035BFD" w:rsidRDefault="00035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B674C2">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485F"/>
    <w:rsid w:val="0002508F"/>
    <w:rsid w:val="000319EF"/>
    <w:rsid w:val="000328D8"/>
    <w:rsid w:val="00035BFD"/>
    <w:rsid w:val="00036B21"/>
    <w:rsid w:val="00056EB4"/>
    <w:rsid w:val="00070035"/>
    <w:rsid w:val="00070F63"/>
    <w:rsid w:val="000734E6"/>
    <w:rsid w:val="000931BD"/>
    <w:rsid w:val="000D166F"/>
    <w:rsid w:val="000D1D9D"/>
    <w:rsid w:val="000D79B1"/>
    <w:rsid w:val="000E61CC"/>
    <w:rsid w:val="000F0E3A"/>
    <w:rsid w:val="00105CA6"/>
    <w:rsid w:val="001148E6"/>
    <w:rsid w:val="00126281"/>
    <w:rsid w:val="00132B51"/>
    <w:rsid w:val="0014684F"/>
    <w:rsid w:val="001644DC"/>
    <w:rsid w:val="00170469"/>
    <w:rsid w:val="0017072E"/>
    <w:rsid w:val="00175AB3"/>
    <w:rsid w:val="001A061F"/>
    <w:rsid w:val="001B0433"/>
    <w:rsid w:val="001B573C"/>
    <w:rsid w:val="001C1A0F"/>
    <w:rsid w:val="001D093C"/>
    <w:rsid w:val="001D28D8"/>
    <w:rsid w:val="001E6DAB"/>
    <w:rsid w:val="001F1F05"/>
    <w:rsid w:val="001F37C5"/>
    <w:rsid w:val="001F5A4B"/>
    <w:rsid w:val="001F7F1B"/>
    <w:rsid w:val="00205B96"/>
    <w:rsid w:val="00212C77"/>
    <w:rsid w:val="00216739"/>
    <w:rsid w:val="00231A62"/>
    <w:rsid w:val="00232172"/>
    <w:rsid w:val="002512D1"/>
    <w:rsid w:val="00251F62"/>
    <w:rsid w:val="00252057"/>
    <w:rsid w:val="00263BCB"/>
    <w:rsid w:val="00265506"/>
    <w:rsid w:val="002823B8"/>
    <w:rsid w:val="00293B76"/>
    <w:rsid w:val="002A7402"/>
    <w:rsid w:val="002B27C3"/>
    <w:rsid w:val="002C222D"/>
    <w:rsid w:val="002C66F8"/>
    <w:rsid w:val="00345132"/>
    <w:rsid w:val="00351A04"/>
    <w:rsid w:val="00352C4A"/>
    <w:rsid w:val="00356021"/>
    <w:rsid w:val="00363AF5"/>
    <w:rsid w:val="00366213"/>
    <w:rsid w:val="00372E52"/>
    <w:rsid w:val="00375908"/>
    <w:rsid w:val="00376C92"/>
    <w:rsid w:val="00381B13"/>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52527"/>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6D6C"/>
    <w:rsid w:val="00623E89"/>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D74FD"/>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674C2"/>
    <w:rsid w:val="00B81E46"/>
    <w:rsid w:val="00B84519"/>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563B1"/>
    <w:rsid w:val="00F6061B"/>
    <w:rsid w:val="00F62FC6"/>
    <w:rsid w:val="00F65BD6"/>
    <w:rsid w:val="00F74B4F"/>
    <w:rsid w:val="00F750B2"/>
    <w:rsid w:val="00F817C1"/>
    <w:rsid w:val="00F844D8"/>
    <w:rsid w:val="00FA0154"/>
    <w:rsid w:val="00FA580F"/>
    <w:rsid w:val="00FB4519"/>
    <w:rsid w:val="00FB60AD"/>
    <w:rsid w:val="00FC33DF"/>
    <w:rsid w:val="00FD21E9"/>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A6EB-463D-4A6C-8831-7E503AEE0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620</Words>
  <Characters>3540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12</cp:revision>
  <cp:lastPrinted>2023-12-07T00:27:00Z</cp:lastPrinted>
  <dcterms:created xsi:type="dcterms:W3CDTF">2026-01-30T04:12:00Z</dcterms:created>
  <dcterms:modified xsi:type="dcterms:W3CDTF">2026-02-10T23:28:00Z</dcterms:modified>
</cp:coreProperties>
</file>